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DD3" w:rsidRDefault="00354DD3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-905810</wp:posOffset>
            </wp:positionH>
            <wp:positionV relativeFrom="paragraph">
              <wp:posOffset>-538935</wp:posOffset>
            </wp:positionV>
            <wp:extent cx="7218513" cy="10369269"/>
            <wp:effectExtent l="19050" t="0" r="1437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4832" t="8010" r="33229" b="10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4476" cy="10377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C042B5" w:rsidRDefault="00C042B5" w:rsidP="00C042B5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Паспорт проекта</w:t>
      </w:r>
    </w:p>
    <w:p w:rsidR="00C042B5" w:rsidRDefault="00C042B5" w:rsidP="00C042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42B5" w:rsidRDefault="00C042B5" w:rsidP="00C042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"/>
        <w:tblW w:w="5000" w:type="pct"/>
        <w:tblLook w:val="04A0"/>
      </w:tblPr>
      <w:tblGrid>
        <w:gridCol w:w="2688"/>
        <w:gridCol w:w="6883"/>
      </w:tblGrid>
      <w:tr w:rsidR="00C042B5" w:rsidRPr="00F36421" w:rsidTr="00983948">
        <w:trPr>
          <w:trHeight w:val="1010"/>
        </w:trPr>
        <w:tc>
          <w:tcPr>
            <w:tcW w:w="1404" w:type="pct"/>
            <w:hideMark/>
          </w:tcPr>
          <w:p w:rsidR="00C042B5" w:rsidRPr="00F36421" w:rsidRDefault="00C042B5" w:rsidP="00983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421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проекта (полное):</w:t>
            </w:r>
          </w:p>
        </w:tc>
        <w:tc>
          <w:tcPr>
            <w:tcW w:w="3596" w:type="pct"/>
            <w:hideMark/>
          </w:tcPr>
          <w:p w:rsidR="00C042B5" w:rsidRPr="00F36421" w:rsidRDefault="00786FFA" w:rsidP="00354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готовности</w:t>
            </w:r>
            <w:r w:rsidR="00B85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858F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B858FA">
              <w:rPr>
                <w:rFonts w:ascii="Times New Roman" w:hAnsi="Times New Roman" w:cs="Times New Roman"/>
                <w:sz w:val="24"/>
                <w:szCs w:val="24"/>
              </w:rPr>
              <w:t xml:space="preserve"> к профессиональной деятельности</w:t>
            </w:r>
          </w:p>
        </w:tc>
      </w:tr>
      <w:tr w:rsidR="00C042B5" w:rsidRPr="00F36421" w:rsidTr="00983948">
        <w:trPr>
          <w:trHeight w:val="985"/>
        </w:trPr>
        <w:tc>
          <w:tcPr>
            <w:tcW w:w="1404" w:type="pct"/>
            <w:hideMark/>
          </w:tcPr>
          <w:p w:rsidR="00C042B5" w:rsidRPr="00F36421" w:rsidRDefault="00C042B5" w:rsidP="00983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421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 (сокращенное):</w:t>
            </w:r>
          </w:p>
        </w:tc>
        <w:tc>
          <w:tcPr>
            <w:tcW w:w="3596" w:type="pct"/>
            <w:hideMark/>
          </w:tcPr>
          <w:p w:rsidR="00C042B5" w:rsidRPr="00F36421" w:rsidRDefault="00786FFA" w:rsidP="00983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63BDB">
              <w:rPr>
                <w:rFonts w:ascii="Times New Roman" w:hAnsi="Times New Roman" w:cs="Times New Roman"/>
                <w:sz w:val="24"/>
                <w:szCs w:val="24"/>
              </w:rPr>
              <w:t>Я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огу»</w:t>
            </w:r>
          </w:p>
        </w:tc>
      </w:tr>
      <w:tr w:rsidR="00C042B5" w:rsidRPr="00E81A57" w:rsidTr="00983948"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B5" w:rsidRPr="00D41D94" w:rsidRDefault="00C042B5" w:rsidP="00983948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D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реализации </w:t>
            </w:r>
          </w:p>
          <w:p w:rsidR="00C042B5" w:rsidRPr="00D41D94" w:rsidRDefault="00C042B5" w:rsidP="00983948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B5" w:rsidRPr="0015055E" w:rsidRDefault="00C042B5" w:rsidP="00983948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2025-2029</w:t>
            </w:r>
            <w:r w:rsidRPr="0015055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A57496" w:rsidRPr="00E81A57" w:rsidTr="00983948"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96" w:rsidRPr="00D41D94" w:rsidRDefault="00A57496" w:rsidP="00A57496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D94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ивно-правовая основа проекта</w:t>
            </w:r>
          </w:p>
          <w:p w:rsidR="00A57496" w:rsidRPr="00D41D94" w:rsidRDefault="00A57496" w:rsidP="00A57496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96" w:rsidRPr="00F63BDB" w:rsidRDefault="00A57496" w:rsidP="00A57496">
            <w:pPr>
              <w:pStyle w:val="a5"/>
              <w:widowControl w:val="0"/>
              <w:numPr>
                <w:ilvl w:val="0"/>
                <w:numId w:val="13"/>
              </w:numPr>
              <w:tabs>
                <w:tab w:val="left" w:pos="33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3B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Конституция Российской Федерации;</w:t>
            </w:r>
          </w:p>
          <w:p w:rsidR="00A57496" w:rsidRPr="00F63BDB" w:rsidRDefault="00A57496" w:rsidP="00A57496">
            <w:pPr>
              <w:pStyle w:val="a5"/>
              <w:widowControl w:val="0"/>
              <w:numPr>
                <w:ilvl w:val="0"/>
                <w:numId w:val="13"/>
              </w:numPr>
              <w:tabs>
                <w:tab w:val="left" w:pos="33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3B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Трудовой кодекс Российской Федерации;</w:t>
            </w:r>
          </w:p>
          <w:p w:rsidR="00A57496" w:rsidRPr="00F63BDB" w:rsidRDefault="00A57496" w:rsidP="00A57496">
            <w:pPr>
              <w:pStyle w:val="a5"/>
              <w:widowControl w:val="0"/>
              <w:numPr>
                <w:ilvl w:val="0"/>
                <w:numId w:val="13"/>
              </w:numPr>
              <w:tabs>
                <w:tab w:val="left" w:pos="33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3B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закон от 29 декабря 2012 г. № 273-ФЗ «Об образовании в Российской Федерации»;</w:t>
            </w:r>
          </w:p>
          <w:p w:rsidR="00A57496" w:rsidRPr="00F63BDB" w:rsidRDefault="00A57496" w:rsidP="00A57496">
            <w:pPr>
              <w:pStyle w:val="a5"/>
              <w:numPr>
                <w:ilvl w:val="0"/>
                <w:numId w:val="13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B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пунктом 21 Долгосрочной программы содействия занятости молодежи на период до 2030 года (распоряжение Правительства Российской Федерации от 14 декабря 2021 г. № 3581-р); </w:t>
            </w:r>
          </w:p>
          <w:p w:rsidR="00A57496" w:rsidRPr="00F63BDB" w:rsidRDefault="00A57496" w:rsidP="00A57496">
            <w:pPr>
              <w:pStyle w:val="a5"/>
              <w:numPr>
                <w:ilvl w:val="0"/>
                <w:numId w:val="13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B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проект постановления Правительства Российской Федерации «О порядке организации и осуществления деятельности центров карьеры (центров содействия трудоустройству выпускников) образовательных организаций высшего образования и профессиональных образовательных организаций и системы показателей эффективности их деятельности»;</w:t>
            </w:r>
          </w:p>
          <w:p w:rsidR="00A57496" w:rsidRPr="00A57496" w:rsidRDefault="00A57496" w:rsidP="00A57496">
            <w:pPr>
              <w:pStyle w:val="a5"/>
              <w:numPr>
                <w:ilvl w:val="0"/>
                <w:numId w:val="13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BDB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для исполнительных органов субъектов Российской Федерации, осуществляющих полномочия в сфере образования, в сфере содействия занятости населения, общеобразовательных</w:t>
            </w:r>
            <w:r w:rsidRPr="00A5749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организаций, профессиональных образовательных организаций, образовательных организаций высшего образования, а также учредителей указанных образовательных организаций по организации системы профессиональной ориентации и маршрутизации обучающихся и выпускников организаций среднего профессионального и высшего образования, а также молодых специалистов на конкретные предприятия (организации) региона;</w:t>
            </w:r>
          </w:p>
          <w:p w:rsidR="00A57496" w:rsidRPr="00A57496" w:rsidRDefault="00A57496" w:rsidP="00A57496">
            <w:pPr>
              <w:pStyle w:val="a5"/>
              <w:numPr>
                <w:ilvl w:val="0"/>
                <w:numId w:val="13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496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совершенствованию деятельности Центров карьеры ПОО;</w:t>
            </w:r>
          </w:p>
          <w:p w:rsidR="00A57496" w:rsidRPr="00A57496" w:rsidRDefault="00A57496" w:rsidP="00A57496">
            <w:pPr>
              <w:pStyle w:val="a5"/>
              <w:numPr>
                <w:ilvl w:val="0"/>
                <w:numId w:val="13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496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27.04.2024 № 555 «О целевом обучении по образовательным программам среднего профессионального и высшего образования»;</w:t>
            </w:r>
          </w:p>
          <w:p w:rsidR="00A57496" w:rsidRPr="00A57496" w:rsidRDefault="00A57496" w:rsidP="00A57496">
            <w:pPr>
              <w:pStyle w:val="a5"/>
              <w:numPr>
                <w:ilvl w:val="0"/>
                <w:numId w:val="13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Методические рекомендации  по организации информационной кампании по вопросу целевого обучения в рамках приема по программам СПО;</w:t>
            </w:r>
          </w:p>
          <w:p w:rsidR="00A57496" w:rsidRPr="00A57496" w:rsidRDefault="00A57496" w:rsidP="00A57496">
            <w:pPr>
              <w:pStyle w:val="a5"/>
              <w:widowControl w:val="0"/>
              <w:numPr>
                <w:ilvl w:val="0"/>
                <w:numId w:val="11"/>
              </w:numPr>
              <w:tabs>
                <w:tab w:val="left" w:pos="336"/>
              </w:tabs>
              <w:ind w:left="336" w:hanging="284"/>
              <w:jc w:val="both"/>
              <w:rPr>
                <w:spacing w:val="2"/>
              </w:rPr>
            </w:pPr>
            <w:r w:rsidRPr="00A57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Устав ГБПОУ «Катайский профессионально-педагогический техникум».</w:t>
            </w:r>
          </w:p>
        </w:tc>
      </w:tr>
      <w:tr w:rsidR="00A57496" w:rsidRPr="00E81A57" w:rsidTr="00983948"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496" w:rsidRPr="00E81A57" w:rsidRDefault="00A57496" w:rsidP="00A57496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Партнеры проекта 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6" w:rsidRPr="00A57496" w:rsidRDefault="00A57496" w:rsidP="00A5749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496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Акционерное общество </w:t>
            </w:r>
            <w:r w:rsidRPr="00A57496">
              <w:rPr>
                <w:rFonts w:ascii="Times New Roman" w:hAnsi="Times New Roman" w:cs="Times New Roman"/>
                <w:sz w:val="24"/>
                <w:szCs w:val="24"/>
              </w:rPr>
              <w:t>«Катайский насосный завод»</w:t>
            </w:r>
          </w:p>
          <w:p w:rsidR="00A57496" w:rsidRPr="00A57496" w:rsidRDefault="00A57496" w:rsidP="00A57496">
            <w:pPr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A57496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МБДОУ Детский сад общеразвивающего вида «Мечта»</w:t>
            </w:r>
          </w:p>
          <w:p w:rsidR="00A57496" w:rsidRPr="00A57496" w:rsidRDefault="00A57496" w:rsidP="00A57496">
            <w:pPr>
              <w:jc w:val="both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A57496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МБОУ </w:t>
            </w:r>
            <w:r w:rsidRPr="00A574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Катайская средняя общеобразовательная школа №1</w:t>
            </w:r>
          </w:p>
          <w:p w:rsidR="00A57496" w:rsidRPr="00A57496" w:rsidRDefault="00A57496" w:rsidP="00A57496">
            <w:pPr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A57496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ООО МЕДМИЛ</w:t>
            </w:r>
          </w:p>
          <w:p w:rsidR="00A57496" w:rsidRPr="00A57496" w:rsidRDefault="00A57496" w:rsidP="00A57496">
            <w:pPr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57496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МБОУ «Средняя общеобразовательная школа №2» </w:t>
            </w:r>
            <w:proofErr w:type="spellStart"/>
            <w:r w:rsidRPr="00A57496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г.Катайска</w:t>
            </w:r>
            <w:proofErr w:type="spellEnd"/>
          </w:p>
          <w:p w:rsidR="00A57496" w:rsidRPr="00A57496" w:rsidRDefault="00A57496" w:rsidP="00A57496">
            <w:pPr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57496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Центр занятости населения</w:t>
            </w:r>
          </w:p>
          <w:p w:rsidR="00A57496" w:rsidRPr="00A57496" w:rsidRDefault="00A57496" w:rsidP="00A5749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496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АО Завод «Старт»</w:t>
            </w:r>
          </w:p>
        </w:tc>
      </w:tr>
      <w:tr w:rsidR="00C042B5" w:rsidRPr="00E81A57" w:rsidTr="00983948"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B5" w:rsidRDefault="00C042B5" w:rsidP="00983948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Руководитель проекта</w:t>
            </w:r>
          </w:p>
          <w:p w:rsidR="00C042B5" w:rsidRPr="00E81A57" w:rsidRDefault="00C042B5" w:rsidP="00983948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B5" w:rsidRPr="00E81A57" w:rsidRDefault="00C042B5" w:rsidP="00983948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учебно-производственной работе Чегодаева С.П.</w:t>
            </w:r>
          </w:p>
        </w:tc>
      </w:tr>
      <w:tr w:rsidR="00C042B5" w:rsidRPr="00E81A57" w:rsidTr="00983948"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B5" w:rsidRPr="00E81A57" w:rsidRDefault="00C042B5" w:rsidP="00983948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 проекта</w:t>
            </w:r>
          </w:p>
          <w:p w:rsidR="00C042B5" w:rsidRDefault="00C042B5" w:rsidP="00983948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B5" w:rsidRDefault="00C042B5" w:rsidP="00983948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Центра карьеры Трифонова С.А.</w:t>
            </w:r>
          </w:p>
        </w:tc>
      </w:tr>
      <w:tr w:rsidR="00C042B5" w:rsidRPr="00E81A57" w:rsidTr="00983948"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88" w:rsidRDefault="007B0F88" w:rsidP="00C042B5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Администратор</w:t>
            </w:r>
          </w:p>
          <w:p w:rsidR="00C042B5" w:rsidRDefault="007B0F88" w:rsidP="00C042B5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C042B5">
              <w:rPr>
                <w:rFonts w:ascii="Times New Roman" w:eastAsia="Times New Roman" w:hAnsi="Times New Roman" w:cs="Times New Roman"/>
                <w:sz w:val="24"/>
                <w:szCs w:val="24"/>
              </w:rPr>
              <w:t>роекта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B5" w:rsidRDefault="00C042B5" w:rsidP="00983948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 Боровских Ю.М.</w:t>
            </w:r>
          </w:p>
          <w:p w:rsidR="00C042B5" w:rsidRDefault="00C042B5" w:rsidP="00983948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УПР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Далматовском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филиале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Ярушникова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C042B5" w:rsidRDefault="00C042B5" w:rsidP="00983948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42B5" w:rsidRPr="00E81A57" w:rsidTr="00983948"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B5" w:rsidRPr="00E81A57" w:rsidRDefault="00C042B5" w:rsidP="00983948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Участникипроекта</w:t>
            </w:r>
          </w:p>
          <w:p w:rsidR="00C042B5" w:rsidRPr="00E81A57" w:rsidRDefault="00C042B5" w:rsidP="00983948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B5" w:rsidRPr="00E81A57" w:rsidRDefault="00C042B5" w:rsidP="00983948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Педагогический коллектив, студенты ГБПОУ «Катайский профессионально-педагогический техникум», представители работодателя</w:t>
            </w:r>
          </w:p>
        </w:tc>
      </w:tr>
      <w:tr w:rsidR="00C042B5" w:rsidRPr="00E81A57" w:rsidTr="00983948"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B5" w:rsidRDefault="00C042B5" w:rsidP="00983948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Целевая аудитория 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B5" w:rsidRDefault="00C042B5" w:rsidP="00983948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школ Катайского, Далматовского, Шадринского, Каргапольского районов; обучающиеся 9 классов, мотивированные на обучение по выбранному профилю, не имеющие возможности учиться где-то еще, находящиеся под крылом у родителей не сдавшие ОГЭ и оставшиеся на пересдачу, обучающиеся 11 классов, плохо сдавшие ЕГЭ; студенты очного и заочного отделения; выпускники техникума</w:t>
            </w:r>
          </w:p>
        </w:tc>
      </w:tr>
      <w:tr w:rsidR="00C042B5" w:rsidRPr="00E81A57" w:rsidTr="00983948"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B5" w:rsidRDefault="00C042B5" w:rsidP="00983948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Актуальность проекта 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B5" w:rsidRPr="00A57496" w:rsidRDefault="00A57496" w:rsidP="00A57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496">
              <w:rPr>
                <w:rFonts w:ascii="Times New Roman" w:hAnsi="Times New Roman" w:cs="Times New Roman"/>
                <w:sz w:val="24"/>
                <w:szCs w:val="24"/>
              </w:rPr>
              <w:t xml:space="preserve">Существуют субъективные факторы, препятствующие успешной реализации профессиональных навыков обучающихся: заниженная самооценка и низкий уровень развития коммуникативной компетентности. В связи с этим выделяются следующие проблемы студентов: трудности вступления в контакт с незнакомыми людьми; страх быть непонятным; страх перед новыми условиями и видами профессиональной деятельности; страх перед публичными выступлениями. Реализация практической подготовки в форме практики нередко для обучающихся является стрессовым фактором. Низкий уровень психологической готовности к этому виду деятельности сказывается на профессиональной и учебной мотивации. Говоря о психологической готовности к профессиональной деятельности, К.К. Платонов рассматривает ее как субъективное состояние личности, считающей себя способной и подготовленной к выполнению определенной профессиональной деятельности и стремящейся ее выполнять. Таким образом, для оптимизации процесса формирования психологической готовности студентов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A57496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профессиональной деятельности в условиях практической подготовки необходим комплекс мероприятий, направленный на устранение психологических затруднений обучающихся. </w:t>
            </w:r>
          </w:p>
        </w:tc>
      </w:tr>
      <w:tr w:rsidR="00C042B5" w:rsidRPr="00E81A57" w:rsidTr="00983948"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B5" w:rsidRPr="00E81A57" w:rsidRDefault="00C042B5" w:rsidP="00983948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проекта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B5" w:rsidRPr="00A57496" w:rsidRDefault="00A57496" w:rsidP="00A574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психологической готовности студентов к профессиональной деятельности.</w:t>
            </w:r>
          </w:p>
        </w:tc>
      </w:tr>
      <w:tr w:rsidR="00C042B5" w:rsidRPr="00E81A57" w:rsidTr="00983948"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B5" w:rsidRPr="00E81A57" w:rsidRDefault="00C042B5" w:rsidP="00983948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</w:t>
            </w:r>
          </w:p>
          <w:p w:rsidR="00C042B5" w:rsidRPr="00E81A57" w:rsidRDefault="00C042B5" w:rsidP="00983948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B5" w:rsidRPr="0033415D" w:rsidRDefault="00A57496" w:rsidP="0033415D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-74"/>
                <w:tab w:val="left" w:pos="47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1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Диагностика психологических барьеров и </w:t>
            </w:r>
            <w:r w:rsidR="0033415D" w:rsidRPr="0033415D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профессиональных склонностей и способностей.</w:t>
            </w:r>
          </w:p>
          <w:p w:rsidR="0033415D" w:rsidRPr="00A57496" w:rsidRDefault="0033415D" w:rsidP="00A57496">
            <w:pPr>
              <w:widowControl w:val="0"/>
              <w:tabs>
                <w:tab w:val="left" w:pos="-74"/>
                <w:tab w:val="left" w:pos="477"/>
              </w:tabs>
              <w:ind w:lef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496" w:rsidRPr="00E81A57" w:rsidTr="00983948"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6" w:rsidRPr="00E81A57" w:rsidRDefault="00A57496" w:rsidP="00A57496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Организационная модель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96" w:rsidRPr="00B432E7" w:rsidRDefault="0033415D" w:rsidP="00DA4976">
            <w:pPr>
              <w:widowControl w:val="0"/>
              <w:tabs>
                <w:tab w:val="left" w:pos="194"/>
              </w:tabs>
              <w:spacing w:after="271" w:line="278" w:lineRule="exact"/>
              <w:ind w:left="52"/>
              <w:jc w:val="both"/>
              <w:rPr>
                <w:rStyle w:val="2"/>
                <w:rFonts w:eastAsiaTheme="minorEastAsia"/>
                <w:sz w:val="24"/>
                <w:szCs w:val="24"/>
              </w:rPr>
            </w:pPr>
            <w:r w:rsidRPr="002D330C">
              <w:rPr>
                <w:rStyle w:val="2"/>
                <w:rFonts w:eastAsiaTheme="minorEastAsia"/>
                <w:sz w:val="24"/>
                <w:szCs w:val="24"/>
              </w:rPr>
              <w:t xml:space="preserve">Проект </w:t>
            </w:r>
            <w:r>
              <w:rPr>
                <w:rStyle w:val="2"/>
                <w:rFonts w:eastAsiaTheme="minorEastAsia"/>
                <w:sz w:val="24"/>
                <w:szCs w:val="24"/>
              </w:rPr>
              <w:t xml:space="preserve">является частью большого проекта РОСТ, где </w:t>
            </w:r>
            <w:r w:rsidRPr="002D330C">
              <w:rPr>
                <w:rStyle w:val="2"/>
                <w:rFonts w:eastAsiaTheme="minorEastAsia"/>
                <w:sz w:val="24"/>
                <w:szCs w:val="24"/>
              </w:rPr>
              <w:t xml:space="preserve">каждый </w:t>
            </w:r>
            <w:proofErr w:type="spellStart"/>
            <w:r w:rsidRPr="002D330C">
              <w:rPr>
                <w:rStyle w:val="2"/>
                <w:rFonts w:eastAsiaTheme="minorEastAsia"/>
                <w:sz w:val="24"/>
                <w:szCs w:val="24"/>
              </w:rPr>
              <w:t>подпроект</w:t>
            </w:r>
            <w:proofErr w:type="spellEnd"/>
            <w:r w:rsidRPr="002D330C">
              <w:rPr>
                <w:rStyle w:val="2"/>
                <w:rFonts w:eastAsiaTheme="minorEastAsia"/>
                <w:sz w:val="24"/>
                <w:szCs w:val="24"/>
              </w:rPr>
              <w:t xml:space="preserve"> преследует свою цель, но вместе они создают </w:t>
            </w:r>
            <w:r w:rsidRPr="002D330C">
              <w:rPr>
                <w:rStyle w:val="2"/>
                <w:rFonts w:eastAsiaTheme="minorEastAsia"/>
                <w:sz w:val="24"/>
                <w:szCs w:val="24"/>
              </w:rPr>
              <w:lastRenderedPageBreak/>
              <w:t xml:space="preserve">единство, соприкасаясь и перекрещиваясь. Одно и то же мероприятие может проводиться в рамках каждого </w:t>
            </w:r>
            <w:proofErr w:type="spellStart"/>
            <w:r w:rsidRPr="002D330C">
              <w:rPr>
                <w:rStyle w:val="2"/>
                <w:rFonts w:eastAsiaTheme="minorEastAsia"/>
                <w:sz w:val="24"/>
                <w:szCs w:val="24"/>
              </w:rPr>
              <w:t>подпроекта</w:t>
            </w:r>
            <w:proofErr w:type="spellEnd"/>
            <w:r w:rsidRPr="002D330C">
              <w:rPr>
                <w:rStyle w:val="2"/>
                <w:rFonts w:eastAsiaTheme="minorEastAsia"/>
                <w:sz w:val="24"/>
                <w:szCs w:val="24"/>
              </w:rPr>
              <w:t xml:space="preserve">, поэтому план мероприятий составлен один на все </w:t>
            </w:r>
            <w:proofErr w:type="spellStart"/>
            <w:r w:rsidRPr="002D330C">
              <w:rPr>
                <w:rStyle w:val="2"/>
                <w:rFonts w:eastAsiaTheme="minorEastAsia"/>
                <w:sz w:val="24"/>
                <w:szCs w:val="24"/>
              </w:rPr>
              <w:t>подпроекты</w:t>
            </w:r>
            <w:proofErr w:type="spellEnd"/>
            <w:r w:rsidRPr="002D330C">
              <w:rPr>
                <w:rStyle w:val="2"/>
                <w:rFonts w:eastAsiaTheme="minorEastAsia"/>
                <w:sz w:val="24"/>
                <w:szCs w:val="24"/>
              </w:rPr>
              <w:t>. Это позволяет систематизировать работу педагогического коллектива, представить системность работы по трудоустройству обучающихся, снизить нагрузку на педагогический коллектив.</w:t>
            </w:r>
            <w:r w:rsidR="00A57496" w:rsidRPr="0033415D">
              <w:rPr>
                <w:rStyle w:val="2"/>
                <w:rFonts w:eastAsiaTheme="minorEastAsia"/>
                <w:sz w:val="24"/>
                <w:szCs w:val="24"/>
              </w:rPr>
              <w:t>Проект «</w:t>
            </w:r>
            <w:r w:rsidR="00F63BDB">
              <w:rPr>
                <w:rStyle w:val="2"/>
                <w:rFonts w:eastAsiaTheme="minorEastAsia"/>
                <w:sz w:val="24"/>
                <w:szCs w:val="24"/>
              </w:rPr>
              <w:t>Я м</w:t>
            </w:r>
            <w:r w:rsidR="00A57496" w:rsidRPr="0033415D">
              <w:rPr>
                <w:rStyle w:val="2"/>
                <w:rFonts w:eastAsiaTheme="minorEastAsia"/>
                <w:sz w:val="24"/>
                <w:szCs w:val="24"/>
              </w:rPr>
              <w:t xml:space="preserve">огу» </w:t>
            </w:r>
            <w:r>
              <w:rPr>
                <w:rStyle w:val="2"/>
                <w:rFonts w:eastAsiaTheme="minorEastAsia"/>
                <w:sz w:val="24"/>
                <w:szCs w:val="24"/>
              </w:rPr>
              <w:t>н</w:t>
            </w:r>
            <w:r w:rsidR="00A57496" w:rsidRPr="0033415D">
              <w:rPr>
                <w:rStyle w:val="2"/>
                <w:rFonts w:eastAsiaTheme="minorEastAsia"/>
                <w:sz w:val="24"/>
                <w:szCs w:val="24"/>
              </w:rPr>
              <w:t>аправлен на формирование психологической готовности студентов к профильному трудоустройству, становление профильной мотивации студентов как фундамента практической готовности к профессиональной деятельности (формирование мотивации через успехи в практической подготовке).</w:t>
            </w:r>
          </w:p>
        </w:tc>
      </w:tr>
      <w:tr w:rsidR="007B4FFC" w:rsidRPr="00E81A57" w:rsidTr="00983948"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FC" w:rsidRPr="00E81A57" w:rsidRDefault="007B4FFC" w:rsidP="007B4FFC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Условия реализации проекта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FC" w:rsidRPr="005B32DC" w:rsidRDefault="007B4FFC" w:rsidP="007B4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2DC">
              <w:rPr>
                <w:rFonts w:ascii="Times New Roman" w:hAnsi="Times New Roman" w:cs="Times New Roman"/>
                <w:sz w:val="24"/>
                <w:szCs w:val="24"/>
              </w:rPr>
              <w:t xml:space="preserve">Для успешной реализации проекта необходимы следующие условия: </w:t>
            </w:r>
          </w:p>
          <w:p w:rsidR="007B4FFC" w:rsidRDefault="007B4FFC" w:rsidP="007B4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2DC">
              <w:rPr>
                <w:rFonts w:ascii="Times New Roman" w:hAnsi="Times New Roman" w:cs="Times New Roman"/>
                <w:sz w:val="24"/>
                <w:szCs w:val="24"/>
              </w:rPr>
              <w:t xml:space="preserve">1.Единый для всех трех </w:t>
            </w:r>
            <w:proofErr w:type="spellStart"/>
            <w:r w:rsidRPr="005B32DC">
              <w:rPr>
                <w:rFonts w:ascii="Times New Roman" w:hAnsi="Times New Roman" w:cs="Times New Roman"/>
                <w:sz w:val="24"/>
                <w:szCs w:val="24"/>
              </w:rPr>
              <w:t>подпроектов</w:t>
            </w:r>
            <w:proofErr w:type="spellEnd"/>
            <w:r w:rsidRPr="005B32DC">
              <w:rPr>
                <w:rFonts w:ascii="Times New Roman" w:hAnsi="Times New Roman" w:cs="Times New Roman"/>
                <w:sz w:val="24"/>
                <w:szCs w:val="24"/>
              </w:rPr>
              <w:t xml:space="preserve"> план, который будет включать аргументированную информацию, удовлетворяющую интересы всех участников проекта‍.</w:t>
            </w:r>
          </w:p>
          <w:p w:rsidR="007B4FFC" w:rsidRPr="005B32DC" w:rsidRDefault="007B4FFC" w:rsidP="007B4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Диагностический инструментарий, который позволяет осуществить комплексную диагностику личности обучающихся.</w:t>
            </w:r>
          </w:p>
          <w:p w:rsidR="007B4FFC" w:rsidRPr="007B4FFC" w:rsidRDefault="007B4FFC" w:rsidP="007B4FFC">
            <w:pPr>
              <w:jc w:val="both"/>
              <w:rPr>
                <w:rStyle w:val="2"/>
                <w:rFonts w:eastAsia="Calibr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B32DC">
              <w:rPr>
                <w:rFonts w:ascii="Times New Roman" w:hAnsi="Times New Roman" w:cs="Times New Roman"/>
                <w:sz w:val="24"/>
                <w:szCs w:val="24"/>
              </w:rPr>
              <w:t>. Мониторинг и оценка результатов.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Картотека диагностик, ведение индивидуальных карт на каждого студента позволит увидеть динамику развития готовности студентов к профессиональной деятельности.</w:t>
            </w:r>
          </w:p>
        </w:tc>
      </w:tr>
      <w:tr w:rsidR="007B4FFC" w:rsidRPr="00E81A57" w:rsidTr="00983948"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FC" w:rsidRPr="00E81A57" w:rsidRDefault="007B4FFC" w:rsidP="007B4FFC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Ресурсы 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FC" w:rsidRPr="00456BCB" w:rsidRDefault="007B4FFC" w:rsidP="007B4FFC">
            <w:pPr>
              <w:pStyle w:val="Default"/>
              <w:ind w:firstLine="351"/>
              <w:jc w:val="both"/>
            </w:pPr>
            <w:r w:rsidRPr="00C931E7">
              <w:t xml:space="preserve">Для реализации </w:t>
            </w:r>
            <w:r>
              <w:t>проекта</w:t>
            </w:r>
            <w:r w:rsidRPr="00C931E7">
              <w:t xml:space="preserve"> необходимы следующие ресурсы: </w:t>
            </w:r>
          </w:p>
          <w:p w:rsidR="007B4FFC" w:rsidRPr="008215C3" w:rsidRDefault="007B4FFC" w:rsidP="007B4FFC">
            <w:pPr>
              <w:pStyle w:val="Default"/>
              <w:numPr>
                <w:ilvl w:val="0"/>
                <w:numId w:val="17"/>
              </w:numPr>
              <w:ind w:left="0" w:firstLine="351"/>
              <w:jc w:val="both"/>
              <w:rPr>
                <w:sz w:val="23"/>
                <w:szCs w:val="23"/>
              </w:rPr>
            </w:pPr>
            <w:r w:rsidRPr="00EF5E34">
              <w:rPr>
                <w:u w:val="single"/>
              </w:rPr>
              <w:t>Материальные ресурсы</w:t>
            </w:r>
            <w:r w:rsidRPr="00C931E7">
              <w:t xml:space="preserve"> - </w:t>
            </w:r>
            <w:r>
              <w:t>материально-техническая база техникума и социальных партнеров.</w:t>
            </w:r>
          </w:p>
          <w:p w:rsidR="007B4FFC" w:rsidRPr="00530D03" w:rsidRDefault="007B4FFC" w:rsidP="007B4FFC">
            <w:pPr>
              <w:pStyle w:val="Default"/>
              <w:numPr>
                <w:ilvl w:val="0"/>
                <w:numId w:val="17"/>
              </w:numPr>
              <w:ind w:left="0" w:firstLine="351"/>
              <w:jc w:val="both"/>
              <w:rPr>
                <w:sz w:val="23"/>
                <w:szCs w:val="23"/>
              </w:rPr>
            </w:pPr>
            <w:r w:rsidRPr="00EF5E34">
              <w:rPr>
                <w:u w:val="single"/>
              </w:rPr>
              <w:t>Информационные ресурсы</w:t>
            </w:r>
            <w:r w:rsidRPr="00C931E7">
              <w:t xml:space="preserve"> - программное обеспечение (программы обработки изображений, веб-браузер, текстовые редакторы); социальные связи, результаты взаимодействия </w:t>
            </w:r>
            <w:r>
              <w:t>участников проекта, информация в социальных сетях о ходе реализации проекта.</w:t>
            </w:r>
          </w:p>
          <w:p w:rsidR="007B4FFC" w:rsidRPr="00530D03" w:rsidRDefault="007B4FFC" w:rsidP="007B4FFC">
            <w:pPr>
              <w:pStyle w:val="Default"/>
              <w:numPr>
                <w:ilvl w:val="0"/>
                <w:numId w:val="17"/>
              </w:numPr>
              <w:ind w:left="0" w:firstLine="351"/>
              <w:jc w:val="both"/>
              <w:rPr>
                <w:sz w:val="23"/>
                <w:szCs w:val="23"/>
              </w:rPr>
            </w:pPr>
            <w:r w:rsidRPr="00530D03">
              <w:rPr>
                <w:u w:val="single"/>
              </w:rPr>
              <w:t>Человеческие ресурсы</w:t>
            </w:r>
            <w:r>
              <w:t>–организаторы, идейные вдохновители, креативные наставники как от техникума, так и от социальных партнеров, нацеленные на положительный результат – вовлечение студентов в трудовую деятельность своего предприятия.</w:t>
            </w:r>
          </w:p>
          <w:p w:rsidR="007B4FFC" w:rsidRPr="00843EF1" w:rsidRDefault="007B4FFC" w:rsidP="007B4FFC">
            <w:pPr>
              <w:pStyle w:val="Default"/>
              <w:numPr>
                <w:ilvl w:val="0"/>
                <w:numId w:val="17"/>
              </w:numPr>
              <w:ind w:left="0" w:firstLine="351"/>
              <w:jc w:val="both"/>
              <w:rPr>
                <w:sz w:val="23"/>
                <w:szCs w:val="23"/>
              </w:rPr>
            </w:pPr>
            <w:r w:rsidRPr="00530D03">
              <w:rPr>
                <w:u w:val="single"/>
              </w:rPr>
              <w:t>Ресурсы организационной структуры управления</w:t>
            </w:r>
            <w:r>
              <w:t>–</w:t>
            </w:r>
            <w:r w:rsidRPr="00C931E7">
              <w:t xml:space="preserve"> руковод</w:t>
            </w:r>
            <w:r>
              <w:t>итель – з</w:t>
            </w:r>
            <w:r>
              <w:rPr>
                <w:rFonts w:eastAsia="Times New Roman"/>
              </w:rPr>
              <w:t>аместитель директора по учебно-производственной работе</w:t>
            </w:r>
            <w:r>
              <w:t>, контролирует ход всего проекта,  куратор проекта - р</w:t>
            </w:r>
            <w:r>
              <w:rPr>
                <w:rFonts w:eastAsia="Times New Roman"/>
              </w:rPr>
              <w:t>уководитель Центра карьеры</w:t>
            </w:r>
            <w:r>
              <w:t xml:space="preserve"> – ответственное лицо, назначенное приказом директора</w:t>
            </w:r>
            <w:r w:rsidRPr="00C931E7">
              <w:t xml:space="preserve">, </w:t>
            </w:r>
            <w:r>
              <w:t xml:space="preserve">курирует организацию и реализацию трех </w:t>
            </w:r>
            <w:proofErr w:type="spellStart"/>
            <w:r>
              <w:t>подпроектов</w:t>
            </w:r>
            <w:proofErr w:type="spellEnd"/>
            <w:r>
              <w:t xml:space="preserve"> и отчитывается перед руководителем; администраторы проекта – ответственные должностные лица, имеющие в должностной инструкции обязанности, касающиеся непосредственно данной деятельности: о</w:t>
            </w:r>
            <w:r>
              <w:rPr>
                <w:rFonts w:eastAsia="Times New Roman"/>
              </w:rPr>
              <w:t xml:space="preserve">тветственный за профориентационную деятельность, председатель приемной комиссии, педагог-психолог, руководитель УПР. </w:t>
            </w:r>
          </w:p>
          <w:p w:rsidR="007B4FFC" w:rsidRPr="00843EF1" w:rsidRDefault="007B4FFC" w:rsidP="007B4FFC">
            <w:pPr>
              <w:pStyle w:val="Default"/>
              <w:ind w:firstLine="602"/>
              <w:jc w:val="both"/>
              <w:rPr>
                <w:sz w:val="23"/>
                <w:szCs w:val="23"/>
              </w:rPr>
            </w:pPr>
            <w:r>
              <w:t xml:space="preserve">Система управления реализацией проекта – уровневая, ответственный за результат каждого уровня организует, реализует и мониторит деятельность своего уровня и </w:t>
            </w:r>
            <w:r>
              <w:lastRenderedPageBreak/>
              <w:t xml:space="preserve">отчитывается перед </w:t>
            </w:r>
            <w:proofErr w:type="gramStart"/>
            <w:r>
              <w:t>ответственным</w:t>
            </w:r>
            <w:proofErr w:type="gramEnd"/>
            <w:r>
              <w:t xml:space="preserve"> выше стоящего уровня.</w:t>
            </w:r>
          </w:p>
          <w:p w:rsidR="007B4FFC" w:rsidRDefault="007B4FFC" w:rsidP="007B4FFC">
            <w:pPr>
              <w:pStyle w:val="Default"/>
              <w:numPr>
                <w:ilvl w:val="0"/>
                <w:numId w:val="17"/>
              </w:numPr>
              <w:ind w:left="0" w:firstLine="351"/>
              <w:jc w:val="both"/>
              <w:rPr>
                <w:sz w:val="23"/>
                <w:szCs w:val="23"/>
              </w:rPr>
            </w:pPr>
            <w:r w:rsidRPr="00530D03">
              <w:rPr>
                <w:u w:val="single"/>
              </w:rPr>
              <w:t>Пространственные ресурсы</w:t>
            </w:r>
            <w:r w:rsidRPr="00C931E7">
              <w:t xml:space="preserve"> - </w:t>
            </w:r>
            <w:r>
              <w:t>использование базы техникума и социальных партнеров.</w:t>
            </w:r>
          </w:p>
          <w:p w:rsidR="007B4FFC" w:rsidRDefault="007B4FFC" w:rsidP="007B4FFC">
            <w:pPr>
              <w:pStyle w:val="Default"/>
              <w:numPr>
                <w:ilvl w:val="0"/>
                <w:numId w:val="17"/>
              </w:numPr>
              <w:ind w:left="0" w:firstLine="351"/>
              <w:jc w:val="both"/>
              <w:rPr>
                <w:sz w:val="23"/>
                <w:szCs w:val="23"/>
              </w:rPr>
            </w:pPr>
            <w:r w:rsidRPr="00530D03">
              <w:rPr>
                <w:u w:val="single"/>
              </w:rPr>
              <w:t>Ресурсы времени</w:t>
            </w:r>
            <w:r w:rsidRPr="00C931E7">
              <w:t xml:space="preserve"> - внеурочное время с учетом графика работыи пожеланиями </w:t>
            </w:r>
            <w:r>
              <w:t>социальных партнеров.</w:t>
            </w:r>
          </w:p>
          <w:p w:rsidR="007B4FFC" w:rsidRPr="00530D03" w:rsidRDefault="007B4FFC" w:rsidP="007B4FFC">
            <w:pPr>
              <w:pStyle w:val="Default"/>
              <w:numPr>
                <w:ilvl w:val="0"/>
                <w:numId w:val="17"/>
              </w:numPr>
              <w:ind w:left="0" w:firstLine="351"/>
              <w:jc w:val="both"/>
              <w:rPr>
                <w:sz w:val="23"/>
                <w:szCs w:val="23"/>
              </w:rPr>
            </w:pPr>
            <w:r w:rsidRPr="00530D03">
              <w:rPr>
                <w:u w:val="single"/>
              </w:rPr>
              <w:t xml:space="preserve">Финансовые ресурсы: </w:t>
            </w:r>
          </w:p>
          <w:p w:rsidR="007B4FFC" w:rsidRDefault="007B4FFC" w:rsidP="007B4FFC">
            <w:pPr>
              <w:pStyle w:val="Default"/>
              <w:ind w:firstLine="351"/>
              <w:jc w:val="both"/>
            </w:pPr>
            <w:r w:rsidRPr="00C931E7">
              <w:t>- приобретение либо обновление оборудования</w:t>
            </w:r>
            <w:r>
              <w:t>;</w:t>
            </w:r>
          </w:p>
          <w:p w:rsidR="007B4FFC" w:rsidRDefault="007B4FFC" w:rsidP="007B4FFC">
            <w:pPr>
              <w:pStyle w:val="Default"/>
              <w:ind w:firstLine="351"/>
              <w:jc w:val="both"/>
            </w:pPr>
            <w:r w:rsidRPr="00C931E7">
              <w:t>- приобретение программного обеспечения (программы обработки изображений, веб</w:t>
            </w:r>
            <w:r>
              <w:t>-</w:t>
            </w:r>
            <w:r w:rsidRPr="00C931E7">
              <w:t>браузер, текстовые редакторы)</w:t>
            </w:r>
            <w:r>
              <w:t xml:space="preserve">; </w:t>
            </w:r>
          </w:p>
          <w:p w:rsidR="007B4FFC" w:rsidRDefault="007B4FFC" w:rsidP="007B4FFC">
            <w:pPr>
              <w:pStyle w:val="Default"/>
              <w:ind w:firstLine="351"/>
              <w:jc w:val="both"/>
            </w:pPr>
            <w:r>
              <w:t xml:space="preserve">- </w:t>
            </w:r>
            <w:r w:rsidRPr="00C931E7">
              <w:t>материальное поощрение педагогов и студентов.</w:t>
            </w:r>
          </w:p>
          <w:p w:rsidR="007B4FFC" w:rsidRPr="00B432E7" w:rsidRDefault="007B4FFC" w:rsidP="007B4FFC">
            <w:pPr>
              <w:widowControl w:val="0"/>
              <w:tabs>
                <w:tab w:val="left" w:pos="194"/>
              </w:tabs>
              <w:spacing w:after="271" w:line="278" w:lineRule="exact"/>
              <w:ind w:left="52"/>
              <w:jc w:val="both"/>
              <w:rPr>
                <w:rStyle w:val="2"/>
                <w:rFonts w:eastAsiaTheme="minorEastAsia"/>
                <w:sz w:val="24"/>
                <w:szCs w:val="24"/>
              </w:rPr>
            </w:pPr>
          </w:p>
        </w:tc>
      </w:tr>
      <w:tr w:rsidR="007B4FFC" w:rsidRPr="00E81A57" w:rsidTr="00983948"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FC" w:rsidRPr="00E81A57" w:rsidRDefault="007B4FFC" w:rsidP="007B4FFC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Алгоритм внедрения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64" w:rsidRDefault="007B4FFC" w:rsidP="00BE7E64">
            <w:pPr>
              <w:ind w:firstLine="7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E64">
              <w:rPr>
                <w:rFonts w:ascii="Times New Roman" w:hAnsi="Times New Roman" w:cs="Times New Roman"/>
                <w:sz w:val="24"/>
                <w:szCs w:val="24"/>
              </w:rPr>
              <w:t xml:space="preserve">В проекте выделяется три блока. </w:t>
            </w:r>
          </w:p>
          <w:p w:rsidR="00267E79" w:rsidRPr="00BE7E64" w:rsidRDefault="007B4FFC" w:rsidP="00BE7E64">
            <w:pPr>
              <w:ind w:firstLine="7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E64">
              <w:rPr>
                <w:rFonts w:ascii="Times New Roman" w:hAnsi="Times New Roman" w:cs="Times New Roman"/>
                <w:sz w:val="24"/>
                <w:szCs w:val="24"/>
              </w:rPr>
              <w:t xml:space="preserve">1-й блок – диагностический. На данном этапе выявляются психологические особенности студентов, уровень социальной компетентности, используются методики К. Роджерса и Р. Даймонда «Диагностика социально-психологической адаптации» (с использованием адаптированной </w:t>
            </w:r>
            <w:proofErr w:type="spellStart"/>
            <w:r w:rsidRPr="00BE7E64">
              <w:rPr>
                <w:rFonts w:ascii="Times New Roman" w:hAnsi="Times New Roman" w:cs="Times New Roman"/>
                <w:sz w:val="24"/>
                <w:szCs w:val="24"/>
              </w:rPr>
              <w:t>А.К.Осницким</w:t>
            </w:r>
            <w:proofErr w:type="spellEnd"/>
            <w:r w:rsidRPr="00BE7E64">
              <w:rPr>
                <w:rFonts w:ascii="Times New Roman" w:hAnsi="Times New Roman" w:cs="Times New Roman"/>
                <w:sz w:val="24"/>
                <w:szCs w:val="24"/>
              </w:rPr>
              <w:t xml:space="preserve"> формы </w:t>
            </w:r>
            <w:proofErr w:type="spellStart"/>
            <w:r w:rsidRPr="00BE7E64">
              <w:rPr>
                <w:rFonts w:ascii="Times New Roman" w:hAnsi="Times New Roman" w:cs="Times New Roman"/>
                <w:sz w:val="24"/>
                <w:szCs w:val="24"/>
              </w:rPr>
              <w:t>опросника</w:t>
            </w:r>
            <w:proofErr w:type="spellEnd"/>
            <w:r w:rsidRPr="00BE7E64">
              <w:rPr>
                <w:rFonts w:ascii="Times New Roman" w:hAnsi="Times New Roman" w:cs="Times New Roman"/>
                <w:sz w:val="24"/>
                <w:szCs w:val="24"/>
              </w:rPr>
              <w:t xml:space="preserve">, Самооценка 11 психических состояний (по </w:t>
            </w:r>
            <w:proofErr w:type="spellStart"/>
            <w:r w:rsidRPr="00BE7E64">
              <w:rPr>
                <w:rFonts w:ascii="Times New Roman" w:hAnsi="Times New Roman" w:cs="Times New Roman"/>
                <w:sz w:val="24"/>
                <w:szCs w:val="24"/>
              </w:rPr>
              <w:t>Айзенку</w:t>
            </w:r>
            <w:proofErr w:type="spellEnd"/>
            <w:r w:rsidRPr="00BE7E64">
              <w:rPr>
                <w:rFonts w:ascii="Times New Roman" w:hAnsi="Times New Roman" w:cs="Times New Roman"/>
                <w:sz w:val="24"/>
                <w:szCs w:val="24"/>
              </w:rPr>
              <w:t xml:space="preserve">); составляются карточки компетенций; проводятся специально организованные беседы со студентами. Данный блок направлен на познание студентом с ОВЗ своего «Я», своих уникальных личностных качеств, способностей. </w:t>
            </w:r>
            <w:r w:rsidR="00267E79" w:rsidRPr="00BE7E6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67E79" w:rsidRPr="00BE7E6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ожно использовать материалы, перечень тестов профессиональной ориентации, размещенных на ЕЦП «Работа в России» </w:t>
            </w:r>
            <w:hyperlink r:id="rId6" w:history="1">
              <w:r w:rsidR="00267E79" w:rsidRPr="00BE7E64">
                <w:rPr>
                  <w:rStyle w:val="aa"/>
                  <w:rFonts w:ascii="Times New Roman" w:hAnsi="Times New Roman" w:cs="Times New Roman"/>
                  <w:sz w:val="24"/>
                  <w:szCs w:val="24"/>
                  <w:lang w:bidi="en-US"/>
                </w:rPr>
                <w:t>(</w:t>
              </w:r>
              <w:r w:rsidR="00267E79" w:rsidRPr="00BE7E64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https://trudvsem.ru/proforientation/testing</w:t>
              </w:r>
              <w:r w:rsidR="00267E79" w:rsidRPr="00BE7E64">
                <w:rPr>
                  <w:rStyle w:val="aa"/>
                  <w:rFonts w:ascii="Times New Roman" w:hAnsi="Times New Roman" w:cs="Times New Roman"/>
                  <w:sz w:val="24"/>
                  <w:szCs w:val="24"/>
                  <w:lang w:bidi="en-US"/>
                </w:rPr>
                <w:t>)</w:t>
              </w:r>
            </w:hyperlink>
            <w:r w:rsidR="00267E79" w:rsidRPr="00BE7E64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:</w:t>
            </w:r>
          </w:p>
          <w:p w:rsidR="00267E79" w:rsidRPr="00BE7E64" w:rsidRDefault="00267E79" w:rsidP="00BE7E64">
            <w:pPr>
              <w:widowControl w:val="0"/>
              <w:numPr>
                <w:ilvl w:val="0"/>
                <w:numId w:val="16"/>
              </w:numPr>
              <w:tabs>
                <w:tab w:val="left" w:pos="1058"/>
              </w:tabs>
              <w:ind w:firstLine="7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E6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Профориентационный тест по типологии профессий Е. А. Климова «Ориентация»;</w:t>
            </w:r>
          </w:p>
          <w:p w:rsidR="00267E79" w:rsidRPr="00BE7E64" w:rsidRDefault="00267E79" w:rsidP="00BE7E64">
            <w:pPr>
              <w:widowControl w:val="0"/>
              <w:numPr>
                <w:ilvl w:val="0"/>
                <w:numId w:val="16"/>
              </w:numPr>
              <w:tabs>
                <w:tab w:val="left" w:pos="1082"/>
              </w:tabs>
              <w:ind w:firstLine="7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E6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Дифференциально-диагностический опросник;</w:t>
            </w:r>
          </w:p>
          <w:p w:rsidR="00267E79" w:rsidRPr="00BE7E64" w:rsidRDefault="00267E79" w:rsidP="00BE7E64">
            <w:pPr>
              <w:widowControl w:val="0"/>
              <w:numPr>
                <w:ilvl w:val="0"/>
                <w:numId w:val="16"/>
              </w:numPr>
              <w:tabs>
                <w:tab w:val="left" w:pos="1062"/>
              </w:tabs>
              <w:ind w:firstLine="7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E6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Опросник профессиональных склонностей (Опросник профессиональных склонностей Л. </w:t>
            </w:r>
            <w:proofErr w:type="spellStart"/>
            <w:r w:rsidRPr="00BE7E6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Йовайши</w:t>
            </w:r>
            <w:proofErr w:type="spellEnd"/>
            <w:r w:rsidRPr="00BE7E6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 модификации Г. В. </w:t>
            </w:r>
            <w:proofErr w:type="spellStart"/>
            <w:r w:rsidRPr="00BE7E6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Резапкиной</w:t>
            </w:r>
            <w:proofErr w:type="spellEnd"/>
            <w:r w:rsidRPr="00BE7E6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);</w:t>
            </w:r>
          </w:p>
          <w:p w:rsidR="00267E79" w:rsidRPr="00BE7E64" w:rsidRDefault="00267E79" w:rsidP="00BE7E64">
            <w:pPr>
              <w:widowControl w:val="0"/>
              <w:numPr>
                <w:ilvl w:val="0"/>
                <w:numId w:val="16"/>
              </w:numPr>
              <w:tabs>
                <w:tab w:val="left" w:pos="1082"/>
              </w:tabs>
              <w:ind w:firstLine="7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E6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Методика диагностики личности на мотивацию к избеганию неудач Т. </w:t>
            </w:r>
            <w:proofErr w:type="spellStart"/>
            <w:r w:rsidRPr="00BE7E6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Элерса</w:t>
            </w:r>
            <w:proofErr w:type="spellEnd"/>
            <w:r w:rsidRPr="00BE7E6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;</w:t>
            </w:r>
          </w:p>
          <w:p w:rsidR="00267E79" w:rsidRPr="00BE7E64" w:rsidRDefault="00267E79" w:rsidP="00BE7E64">
            <w:pPr>
              <w:widowControl w:val="0"/>
              <w:numPr>
                <w:ilvl w:val="0"/>
                <w:numId w:val="16"/>
              </w:numPr>
              <w:tabs>
                <w:tab w:val="left" w:pos="1082"/>
              </w:tabs>
              <w:ind w:firstLine="7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E6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Методика диагностики степени готовности к риску Шуберта;</w:t>
            </w:r>
          </w:p>
          <w:p w:rsidR="00267E79" w:rsidRPr="00BE7E64" w:rsidRDefault="00267E79" w:rsidP="00BE7E64">
            <w:pPr>
              <w:widowControl w:val="0"/>
              <w:numPr>
                <w:ilvl w:val="0"/>
                <w:numId w:val="16"/>
              </w:numPr>
              <w:tabs>
                <w:tab w:val="left" w:pos="1082"/>
              </w:tabs>
              <w:ind w:firstLine="7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E6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Индивидуальный типологический опросник (версия для взрослых);</w:t>
            </w:r>
          </w:p>
          <w:p w:rsidR="00267E79" w:rsidRPr="00BE7E64" w:rsidRDefault="00267E79" w:rsidP="00BE7E64">
            <w:pPr>
              <w:widowControl w:val="0"/>
              <w:numPr>
                <w:ilvl w:val="0"/>
                <w:numId w:val="16"/>
              </w:numPr>
              <w:tabs>
                <w:tab w:val="left" w:pos="1082"/>
              </w:tabs>
              <w:ind w:firstLine="7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E6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Индивидуальный типологический опросник (версия для молодежи);</w:t>
            </w:r>
          </w:p>
          <w:p w:rsidR="00267E79" w:rsidRPr="00BE7E64" w:rsidRDefault="00267E79" w:rsidP="00BE7E64">
            <w:pPr>
              <w:widowControl w:val="0"/>
              <w:numPr>
                <w:ilvl w:val="0"/>
                <w:numId w:val="16"/>
              </w:numPr>
              <w:tabs>
                <w:tab w:val="left" w:pos="1082"/>
              </w:tabs>
              <w:ind w:firstLine="7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E6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Методика диагностики личности на мотивацию к успеху Т. </w:t>
            </w:r>
            <w:proofErr w:type="spellStart"/>
            <w:r w:rsidRPr="00BE7E6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Элерса</w:t>
            </w:r>
            <w:proofErr w:type="spellEnd"/>
            <w:r w:rsidRPr="00BE7E6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;</w:t>
            </w:r>
          </w:p>
          <w:p w:rsidR="00267E79" w:rsidRPr="00BE7E64" w:rsidRDefault="00267E79" w:rsidP="00BE7E64">
            <w:pPr>
              <w:widowControl w:val="0"/>
              <w:numPr>
                <w:ilvl w:val="0"/>
                <w:numId w:val="16"/>
              </w:numPr>
              <w:tabs>
                <w:tab w:val="left" w:pos="1052"/>
              </w:tabs>
              <w:ind w:firstLine="7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E6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Методика диагностики социально-психологических установок личности в мотивационно- </w:t>
            </w:r>
            <w:proofErr w:type="spellStart"/>
            <w:r w:rsidRPr="00BE7E6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потребностной</w:t>
            </w:r>
            <w:proofErr w:type="spellEnd"/>
            <w:r w:rsidRPr="00BE7E6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сфере О. Ф. Потемкиной;</w:t>
            </w:r>
          </w:p>
          <w:p w:rsidR="00267E79" w:rsidRPr="00BE7E64" w:rsidRDefault="00267E79" w:rsidP="00BE7E64">
            <w:pPr>
              <w:widowControl w:val="0"/>
              <w:numPr>
                <w:ilvl w:val="0"/>
                <w:numId w:val="16"/>
              </w:numPr>
              <w:tabs>
                <w:tab w:val="left" w:pos="1178"/>
              </w:tabs>
              <w:ind w:firstLine="7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E6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Методика диагностики ценностных ориентаций в карьере «Якоря карьеры»;</w:t>
            </w:r>
          </w:p>
          <w:p w:rsidR="00267E79" w:rsidRPr="00BE7E64" w:rsidRDefault="00267E79" w:rsidP="00BE7E64">
            <w:pPr>
              <w:widowControl w:val="0"/>
              <w:numPr>
                <w:ilvl w:val="0"/>
                <w:numId w:val="16"/>
              </w:numPr>
              <w:tabs>
                <w:tab w:val="left" w:pos="1178"/>
              </w:tabs>
              <w:ind w:firstLine="7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E6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Предпринимательский потенциал;</w:t>
            </w:r>
          </w:p>
          <w:p w:rsidR="007B4FFC" w:rsidRPr="00BE7E64" w:rsidRDefault="00267E79" w:rsidP="00BE7E64">
            <w:pPr>
              <w:widowControl w:val="0"/>
              <w:numPr>
                <w:ilvl w:val="0"/>
                <w:numId w:val="16"/>
              </w:numPr>
              <w:tabs>
                <w:tab w:val="left" w:pos="1178"/>
              </w:tabs>
              <w:ind w:firstLine="7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E6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Предпринимательский интерес.</w:t>
            </w:r>
          </w:p>
          <w:p w:rsidR="007B4FFC" w:rsidRPr="00BE7E64" w:rsidRDefault="007B4FFC" w:rsidP="00BE7E64">
            <w:pPr>
              <w:ind w:firstLine="5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E64">
              <w:rPr>
                <w:rFonts w:ascii="Times New Roman" w:hAnsi="Times New Roman" w:cs="Times New Roman"/>
                <w:sz w:val="24"/>
                <w:szCs w:val="24"/>
              </w:rPr>
              <w:t xml:space="preserve">2-й блок – практический – направлен на формирование положительной оценка своего «Я», на приобретение положительного социального опыта и оценки собственных </w:t>
            </w:r>
            <w:r w:rsidRPr="00BE7E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достижений в процессе индивидуальной и групповой работы. Используются такие формы и методы работы: - Тайны моего Я: «Сказка о своей жизни»; - Тренинг на самооценку: «Карта достижений»; - Сферы моей жизни: «Колесо ценностей»; - Мастер-класс по саморегуляции в условиях стресса; - Общение «Язык тела»; - Коммуникативные барьеры: «Правила общения»; - </w:t>
            </w:r>
            <w:proofErr w:type="spellStart"/>
            <w:r w:rsidRPr="00BE7E64">
              <w:rPr>
                <w:rFonts w:ascii="Times New Roman" w:hAnsi="Times New Roman" w:cs="Times New Roman"/>
                <w:sz w:val="24"/>
                <w:szCs w:val="24"/>
              </w:rPr>
              <w:t>Арт-терапия</w:t>
            </w:r>
            <w:proofErr w:type="spellEnd"/>
            <w:r w:rsidRPr="00BE7E64">
              <w:rPr>
                <w:rFonts w:ascii="Times New Roman" w:hAnsi="Times New Roman" w:cs="Times New Roman"/>
                <w:sz w:val="24"/>
                <w:szCs w:val="24"/>
              </w:rPr>
              <w:t>; -</w:t>
            </w:r>
            <w:proofErr w:type="spellStart"/>
            <w:r w:rsidRPr="00BE7E64">
              <w:rPr>
                <w:rFonts w:ascii="Times New Roman" w:hAnsi="Times New Roman" w:cs="Times New Roman"/>
                <w:sz w:val="24"/>
                <w:szCs w:val="24"/>
              </w:rPr>
              <w:t>Драмотерапия</w:t>
            </w:r>
            <w:proofErr w:type="spellEnd"/>
            <w:r w:rsidRPr="00BE7E64">
              <w:rPr>
                <w:rFonts w:ascii="Times New Roman" w:hAnsi="Times New Roman" w:cs="Times New Roman"/>
                <w:sz w:val="24"/>
                <w:szCs w:val="24"/>
              </w:rPr>
              <w:t xml:space="preserve">; - Маршрут саморазвития. </w:t>
            </w:r>
          </w:p>
          <w:p w:rsidR="007B4FFC" w:rsidRPr="00BE7E64" w:rsidRDefault="007B4FFC" w:rsidP="00BE7E64">
            <w:pPr>
              <w:ind w:firstLine="576"/>
              <w:jc w:val="both"/>
              <w:rPr>
                <w:rStyle w:val="2"/>
                <w:rFonts w:eastAsiaTheme="minorEastAsia"/>
                <w:sz w:val="24"/>
                <w:szCs w:val="24"/>
              </w:rPr>
            </w:pPr>
            <w:r w:rsidRPr="00BE7E64">
              <w:rPr>
                <w:rFonts w:ascii="Times New Roman" w:hAnsi="Times New Roman" w:cs="Times New Roman"/>
                <w:sz w:val="24"/>
                <w:szCs w:val="24"/>
              </w:rPr>
              <w:t xml:space="preserve">3-й блок – заключительный. На данном этапе проводится повторная диагностика и подводятся итоги сформированности психологической готовности каждого студента к профессиональной деятельности. </w:t>
            </w:r>
          </w:p>
        </w:tc>
      </w:tr>
      <w:tr w:rsidR="007B4FFC" w:rsidRPr="00E81A57" w:rsidTr="00983948"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FC" w:rsidRPr="00E81A57" w:rsidRDefault="007B4FFC" w:rsidP="007B4FFC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Количественные и качественные результаты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64" w:rsidRDefault="00BE7E64" w:rsidP="00BE7E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E64">
              <w:rPr>
                <w:rFonts w:ascii="Times New Roman" w:hAnsi="Times New Roman" w:cs="Times New Roman"/>
                <w:sz w:val="24"/>
                <w:szCs w:val="24"/>
              </w:rPr>
              <w:t>100% охват обучающихся диагностической работой.</w:t>
            </w:r>
          </w:p>
          <w:p w:rsidR="00BE7E64" w:rsidRDefault="00BE7E64" w:rsidP="00BE7E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70% обучающихся имеют средний уровень психологической готовности.</w:t>
            </w:r>
          </w:p>
          <w:p w:rsidR="00BE7E64" w:rsidRPr="00BE7E64" w:rsidRDefault="00BE7E64" w:rsidP="00BE7E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70% обучающихся имеют низкий уровень тревожности при выходе на производственную практику.</w:t>
            </w:r>
          </w:p>
          <w:p w:rsidR="007B4FFC" w:rsidRPr="00BE7E64" w:rsidRDefault="00BE7E64" w:rsidP="00BE7E64">
            <w:pPr>
              <w:jc w:val="both"/>
              <w:rPr>
                <w:rStyle w:val="2"/>
                <w:rFonts w:eastAsia="Calibr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70% обучающихся имеют</w:t>
            </w:r>
            <w:r w:rsidRPr="00BE7E64">
              <w:rPr>
                <w:rFonts w:ascii="Times New Roman" w:hAnsi="Times New Roman" w:cs="Times New Roman"/>
                <w:sz w:val="24"/>
                <w:szCs w:val="24"/>
              </w:rPr>
              <w:t xml:space="preserve"> достаточный 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r w:rsidRPr="00BE7E64">
              <w:rPr>
                <w:rFonts w:ascii="Times New Roman" w:hAnsi="Times New Roman" w:cs="Times New Roman"/>
                <w:sz w:val="24"/>
                <w:szCs w:val="24"/>
              </w:rPr>
              <w:t xml:space="preserve"> навыков коммуникации, публичного выступления, свободного обмена опытом</w:t>
            </w:r>
            <w:r w:rsidR="007B4FFC" w:rsidRPr="00BE7E64">
              <w:rPr>
                <w:rFonts w:ascii="Times New Roman" w:hAnsi="Times New Roman" w:cs="Times New Roman"/>
                <w:sz w:val="24"/>
                <w:szCs w:val="24"/>
              </w:rPr>
              <w:t>и уверенного поведения.</w:t>
            </w:r>
          </w:p>
        </w:tc>
      </w:tr>
    </w:tbl>
    <w:p w:rsidR="00102B55" w:rsidRPr="000C1A97" w:rsidRDefault="00102B55" w:rsidP="000C1A97"/>
    <w:sectPr w:rsidR="00102B55" w:rsidRPr="000C1A97" w:rsidSect="00102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10CA"/>
    <w:multiLevelType w:val="multilevel"/>
    <w:tmpl w:val="8E7E1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C85000"/>
    <w:multiLevelType w:val="hybridMultilevel"/>
    <w:tmpl w:val="A31C101A"/>
    <w:lvl w:ilvl="0" w:tplc="24FAD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8B75DF"/>
    <w:multiLevelType w:val="hybridMultilevel"/>
    <w:tmpl w:val="2B748C5C"/>
    <w:lvl w:ilvl="0" w:tplc="0CB27B30">
      <w:start w:val="1"/>
      <w:numFmt w:val="decimal"/>
      <w:lvlText w:val="%1."/>
      <w:lvlJc w:val="left"/>
      <w:pPr>
        <w:ind w:left="1071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3">
    <w:nsid w:val="1F716A9B"/>
    <w:multiLevelType w:val="multilevel"/>
    <w:tmpl w:val="1AEA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AF1E89"/>
    <w:multiLevelType w:val="multilevel"/>
    <w:tmpl w:val="676E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CD7890"/>
    <w:multiLevelType w:val="hybridMultilevel"/>
    <w:tmpl w:val="09ECFA64"/>
    <w:lvl w:ilvl="0" w:tplc="41E44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34426A"/>
    <w:multiLevelType w:val="hybridMultilevel"/>
    <w:tmpl w:val="45ECD54E"/>
    <w:lvl w:ilvl="0" w:tplc="4D2E3EC4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7">
    <w:nsid w:val="376028E2"/>
    <w:multiLevelType w:val="multilevel"/>
    <w:tmpl w:val="3F586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4C3BD3"/>
    <w:multiLevelType w:val="multilevel"/>
    <w:tmpl w:val="8500B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60454C"/>
    <w:multiLevelType w:val="multilevel"/>
    <w:tmpl w:val="72DA97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578155F"/>
    <w:multiLevelType w:val="multilevel"/>
    <w:tmpl w:val="0896D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031D60"/>
    <w:multiLevelType w:val="multilevel"/>
    <w:tmpl w:val="5CE66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8074E7"/>
    <w:multiLevelType w:val="multilevel"/>
    <w:tmpl w:val="3DDC9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F449A6"/>
    <w:multiLevelType w:val="multilevel"/>
    <w:tmpl w:val="49721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D26076"/>
    <w:multiLevelType w:val="multilevel"/>
    <w:tmpl w:val="A93E4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D75D9D"/>
    <w:multiLevelType w:val="hybridMultilevel"/>
    <w:tmpl w:val="0914B3E8"/>
    <w:lvl w:ilvl="0" w:tplc="DD92E3BA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2" w:hanging="360"/>
      </w:pPr>
    </w:lvl>
    <w:lvl w:ilvl="2" w:tplc="0419001B" w:tentative="1">
      <w:start w:val="1"/>
      <w:numFmt w:val="lowerRoman"/>
      <w:lvlText w:val="%3."/>
      <w:lvlJc w:val="right"/>
      <w:pPr>
        <w:ind w:left="1852" w:hanging="180"/>
      </w:pPr>
    </w:lvl>
    <w:lvl w:ilvl="3" w:tplc="0419000F" w:tentative="1">
      <w:start w:val="1"/>
      <w:numFmt w:val="decimal"/>
      <w:lvlText w:val="%4."/>
      <w:lvlJc w:val="left"/>
      <w:pPr>
        <w:ind w:left="2572" w:hanging="360"/>
      </w:pPr>
    </w:lvl>
    <w:lvl w:ilvl="4" w:tplc="04190019" w:tentative="1">
      <w:start w:val="1"/>
      <w:numFmt w:val="lowerLetter"/>
      <w:lvlText w:val="%5."/>
      <w:lvlJc w:val="left"/>
      <w:pPr>
        <w:ind w:left="3292" w:hanging="360"/>
      </w:pPr>
    </w:lvl>
    <w:lvl w:ilvl="5" w:tplc="0419001B" w:tentative="1">
      <w:start w:val="1"/>
      <w:numFmt w:val="lowerRoman"/>
      <w:lvlText w:val="%6."/>
      <w:lvlJc w:val="right"/>
      <w:pPr>
        <w:ind w:left="4012" w:hanging="180"/>
      </w:pPr>
    </w:lvl>
    <w:lvl w:ilvl="6" w:tplc="0419000F" w:tentative="1">
      <w:start w:val="1"/>
      <w:numFmt w:val="decimal"/>
      <w:lvlText w:val="%7."/>
      <w:lvlJc w:val="left"/>
      <w:pPr>
        <w:ind w:left="4732" w:hanging="360"/>
      </w:pPr>
    </w:lvl>
    <w:lvl w:ilvl="7" w:tplc="04190019" w:tentative="1">
      <w:start w:val="1"/>
      <w:numFmt w:val="lowerLetter"/>
      <w:lvlText w:val="%8."/>
      <w:lvlJc w:val="left"/>
      <w:pPr>
        <w:ind w:left="5452" w:hanging="360"/>
      </w:pPr>
    </w:lvl>
    <w:lvl w:ilvl="8" w:tplc="0419001B" w:tentative="1">
      <w:start w:val="1"/>
      <w:numFmt w:val="lowerRoman"/>
      <w:lvlText w:val="%9."/>
      <w:lvlJc w:val="right"/>
      <w:pPr>
        <w:ind w:left="6172" w:hanging="180"/>
      </w:pPr>
    </w:lvl>
  </w:abstractNum>
  <w:num w:numId="1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1"/>
  </w:num>
  <w:num w:numId="11">
    <w:abstractNumId w:val="5"/>
  </w:num>
  <w:num w:numId="12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6"/>
  </w:num>
  <w:num w:numId="16">
    <w:abstractNumId w:val="9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C1A97"/>
    <w:rsid w:val="000B2F2B"/>
    <w:rsid w:val="000C1A97"/>
    <w:rsid w:val="00102B55"/>
    <w:rsid w:val="00267E79"/>
    <w:rsid w:val="0033415D"/>
    <w:rsid w:val="00354DD3"/>
    <w:rsid w:val="00496CB0"/>
    <w:rsid w:val="0057451A"/>
    <w:rsid w:val="00733AD1"/>
    <w:rsid w:val="00786FFA"/>
    <w:rsid w:val="007B0F88"/>
    <w:rsid w:val="007B4FFC"/>
    <w:rsid w:val="00A57496"/>
    <w:rsid w:val="00B858FA"/>
    <w:rsid w:val="00BE7E64"/>
    <w:rsid w:val="00C042B5"/>
    <w:rsid w:val="00DA4976"/>
    <w:rsid w:val="00F278C7"/>
    <w:rsid w:val="00F63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B55"/>
  </w:style>
  <w:style w:type="paragraph" w:styleId="3">
    <w:name w:val="heading 3"/>
    <w:basedOn w:val="a"/>
    <w:link w:val="30"/>
    <w:uiPriority w:val="9"/>
    <w:qFormat/>
    <w:rsid w:val="000C1A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C1A9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C1A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C1A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C1A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C1A9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itugml">
    <w:name w:val="sc-itugml"/>
    <w:basedOn w:val="a"/>
    <w:rsid w:val="000C1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fytwqq">
    <w:name w:val="sc-fytwqq"/>
    <w:basedOn w:val="a0"/>
    <w:rsid w:val="000C1A97"/>
  </w:style>
  <w:style w:type="paragraph" w:styleId="a3">
    <w:name w:val="Normal (Web)"/>
    <w:basedOn w:val="a"/>
    <w:unhideWhenUsed/>
    <w:rsid w:val="00C04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42B5"/>
    <w:rPr>
      <w:b/>
      <w:bCs/>
    </w:rPr>
  </w:style>
  <w:style w:type="paragraph" w:styleId="a5">
    <w:name w:val="List Paragraph"/>
    <w:basedOn w:val="a"/>
    <w:link w:val="a6"/>
    <w:uiPriority w:val="34"/>
    <w:qFormat/>
    <w:rsid w:val="00C042B5"/>
    <w:pPr>
      <w:ind w:left="720"/>
      <w:contextualSpacing/>
    </w:pPr>
    <w:rPr>
      <w:rFonts w:eastAsiaTheme="minorEastAsia"/>
      <w:lang w:eastAsia="ru-RU"/>
    </w:rPr>
  </w:style>
  <w:style w:type="table" w:customStyle="1" w:styleId="1">
    <w:name w:val="Сетка таблицы1"/>
    <w:basedOn w:val="a1"/>
    <w:uiPriority w:val="59"/>
    <w:rsid w:val="00C042B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uiPriority w:val="34"/>
    <w:locked/>
    <w:rsid w:val="00C042B5"/>
    <w:rPr>
      <w:rFonts w:eastAsiaTheme="minorEastAsia"/>
      <w:lang w:eastAsia="ru-RU"/>
    </w:rPr>
  </w:style>
  <w:style w:type="paragraph" w:customStyle="1" w:styleId="Default">
    <w:name w:val="Default"/>
    <w:rsid w:val="00C042B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C042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styleId="a7">
    <w:name w:val="Table Grid"/>
    <w:basedOn w:val="a1"/>
    <w:uiPriority w:val="59"/>
    <w:rsid w:val="00C042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semiHidden/>
    <w:unhideWhenUsed/>
    <w:rsid w:val="00A57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57496"/>
  </w:style>
  <w:style w:type="character" w:styleId="aa">
    <w:name w:val="Hyperlink"/>
    <w:basedOn w:val="a0"/>
    <w:rsid w:val="000B2F2B"/>
    <w:rPr>
      <w:color w:val="0066CC"/>
      <w:u w:val="single"/>
    </w:rPr>
  </w:style>
  <w:style w:type="character" w:customStyle="1" w:styleId="20">
    <w:name w:val="Основной текст (2)_"/>
    <w:basedOn w:val="a0"/>
    <w:rsid w:val="000B2F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styleId="ab">
    <w:name w:val="Balloon Text"/>
    <w:basedOn w:val="a"/>
    <w:link w:val="ac"/>
    <w:uiPriority w:val="99"/>
    <w:semiHidden/>
    <w:unhideWhenUsed/>
    <w:rsid w:val="0035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54D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9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udvsem.ru/proforientation/testi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1542</Words>
  <Characters>8793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2025-06-11T07:57:00Z</cp:lastPrinted>
  <dcterms:created xsi:type="dcterms:W3CDTF">2026-06-11T09:34:00Z</dcterms:created>
  <dcterms:modified xsi:type="dcterms:W3CDTF">2026-06-11T09:34:00Z</dcterms:modified>
</cp:coreProperties>
</file>