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Темы контрольных работ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по МДК 02.02 </w:t>
      </w:r>
      <w:r>
        <w:rPr>
          <w:rFonts w:hint="default" w:ascii="Times New Roman" w:hAnsi="Times New Roman" w:cs="Times New Roman"/>
          <w:b/>
          <w:bCs/>
          <w:sz w:val="28"/>
          <w:lang w:val="ru-RU"/>
        </w:rPr>
        <w:t>Основы профориентационной деятельности учителя начальных классов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для студентов 43 группы заочного отделения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Преподаватель Кокшарова Н.В.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69"/>
        <w:gridCol w:w="7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Профессиональной ориентации школьников.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Актуальность профориентационных занятий в начальных классах.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Методологические основы профориентации школьников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Нормативное обеспечение деятельности образовательных организаций по профориентационной работе с младшими школьниками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Профориентация учащихся как одно из направлений реализации ФГОС НОО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Учет возрастных особенностей при организации профориентационной работы с обучающимися начальной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Направления профориентационной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Система профориентационной работы в школе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Формы профориентационной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Методы и приемы, используемые в профориентационной работе в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начальных классах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Основы проектирования профориентационного занятия для начальных классов.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Структура профориентационного занятия в начальной школе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Диагностика уровня профессионального самоопределения обучающихся начальной школы.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Формы и методы профориентационной работы с младшими школьниками и их родителями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9" w:type="dxa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353" w:type="dxa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Профориентационная экскурсия как один из путей изучения профессии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7803523">
    <w:nsid w:val="66639A03"/>
    <w:multiLevelType w:val="singleLevel"/>
    <w:tmpl w:val="66639A03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7178035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D4DB2"/>
    <w:rsid w:val="111D4D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2024-06-07T23:30:00Z</dcterms:created>
  <dc:creator>Кабинет205</dc:creator>
  <cp:lastModifiedBy>Кабинет205</cp:lastModifiedBy>
  <dcterms:modified xsi:type="dcterms:W3CDTF">2024-06-07T23:35:57Z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1049-10.1.0.5652</vt:lpwstr>
  </property>
</Properties>
</file>