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ДОМАШНИЕ КОНТРОЛЬНЫЕ РАБОТЫ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Методические указания к заданию №</w:t>
      </w:r>
      <w:r>
        <w:rPr>
          <w:b/>
          <w:color w:val="000000"/>
        </w:rPr>
        <w:t>1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При вычерчивании диаграммы состояние железоуглеродистых сплавов и построении кривой охлаждения следует учитывать положения характерных точек диаграммы.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 xml:space="preserve">Заданный сплав обозначается на диаграмме состояния вертикальной </w:t>
      </w:r>
      <w:r>
        <w:rPr>
          <w:iCs/>
          <w:color w:val="000000"/>
        </w:rPr>
        <w:t xml:space="preserve">линией </w:t>
      </w:r>
      <w:r>
        <w:rPr>
          <w:color w:val="000000"/>
        </w:rPr>
        <w:t xml:space="preserve">Кривые охлаждения строятся в координатах температура-время в интервале от температуры жидкого состояния сплава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комнатной.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 xml:space="preserve">При построении кривой используется правило </w:t>
      </w:r>
      <w:proofErr w:type="spellStart"/>
      <w:r>
        <w:rPr>
          <w:color w:val="000000"/>
        </w:rPr>
        <w:t>фазустанавливающе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зависимость между числом степеней свободы (вариантностью) системы, компонентов фаз (при постоянном давлении).</w:t>
      </w:r>
    </w:p>
    <w:p w:rsidR="00E93A42" w:rsidRDefault="00244F22" w:rsidP="005A1C0D">
      <w:pPr>
        <w:spacing w:after="0" w:line="240" w:lineRule="auto"/>
        <w:ind w:firstLine="708"/>
        <w:jc w:val="both"/>
      </w:pPr>
      <w:r>
        <w:rPr>
          <w:color w:val="000000"/>
        </w:rPr>
        <w:t>Все структурные превращения описываются в соответствии с диаграммой состояния. При этом скорость охлаждения заданного сплава подразумевается оче</w:t>
      </w:r>
      <w:r>
        <w:rPr>
          <w:color w:val="000000"/>
        </w:rPr>
        <w:t>нь небольшой.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Следует схематически изобразить микроструктуру заданного сплава в квадратах 40Х40 мм  и указать структурные и фазовые составляющие (схемы микроструктур указаны в приложении).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ЗАДАНИЕ </w:t>
      </w:r>
      <w:r>
        <w:rPr>
          <w:b/>
          <w:i/>
          <w:iCs/>
          <w:color w:val="000000"/>
        </w:rPr>
        <w:t>1</w:t>
      </w:r>
      <w:r>
        <w:rPr>
          <w:b/>
          <w:i/>
          <w:iCs/>
          <w:color w:val="000000"/>
        </w:rPr>
        <w:t xml:space="preserve">Вычертить диаграмму железо </w:t>
      </w:r>
      <w:r>
        <w:rPr>
          <w:b/>
          <w:i/>
          <w:color w:val="000000"/>
        </w:rPr>
        <w:t xml:space="preserve">- </w:t>
      </w:r>
      <w:r>
        <w:rPr>
          <w:b/>
          <w:i/>
          <w:iCs/>
          <w:color w:val="000000"/>
        </w:rPr>
        <w:t>карбид железа (</w:t>
      </w:r>
      <w:r>
        <w:rPr>
          <w:b/>
          <w:i/>
          <w:color w:val="000000"/>
          <w:lang w:val="en-US"/>
        </w:rPr>
        <w:t>F</w:t>
      </w:r>
      <w:r>
        <w:rPr>
          <w:b/>
          <w:i/>
          <w:color w:val="000000"/>
        </w:rPr>
        <w:t xml:space="preserve">е- </w:t>
      </w:r>
      <w:r>
        <w:rPr>
          <w:b/>
          <w:i/>
          <w:color w:val="000000"/>
          <w:lang w:val="en-US"/>
        </w:rPr>
        <w:t>F</w:t>
      </w:r>
      <w:r>
        <w:rPr>
          <w:b/>
          <w:i/>
          <w:color w:val="000000"/>
        </w:rPr>
        <w:t>е</w:t>
      </w:r>
      <w:r>
        <w:rPr>
          <w:b/>
          <w:i/>
          <w:color w:val="000000"/>
          <w:vertAlign w:val="subscript"/>
        </w:rPr>
        <w:t>3</w:t>
      </w:r>
      <w:r>
        <w:rPr>
          <w:b/>
          <w:i/>
          <w:color w:val="000000"/>
        </w:rPr>
        <w:t>С.</w:t>
      </w:r>
      <w:proofErr w:type="gramStart"/>
      <w:r>
        <w:rPr>
          <w:b/>
          <w:i/>
          <w:color w:val="000000"/>
        </w:rPr>
        <w:t>)</w:t>
      </w:r>
      <w:r>
        <w:rPr>
          <w:b/>
          <w:i/>
          <w:iCs/>
          <w:color w:val="000000"/>
        </w:rPr>
        <w:t>У</w:t>
      </w:r>
      <w:proofErr w:type="gramEnd"/>
      <w:r>
        <w:rPr>
          <w:b/>
          <w:i/>
          <w:iCs/>
          <w:color w:val="000000"/>
        </w:rPr>
        <w:t>казать структурные составляющие во всех областях диаграммы дать их определение. Описать превращения и построить кривую охлаждения заданного сплава. Какова структура этого сплава при комнатной температуре и как такой сплав называется?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Варианты задания и и</w:t>
      </w:r>
      <w:r>
        <w:rPr>
          <w:color w:val="000000"/>
        </w:rPr>
        <w:t>сходные данные представлены в таблице: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481"/>
        <w:gridCol w:w="796"/>
        <w:gridCol w:w="823"/>
        <w:gridCol w:w="823"/>
        <w:gridCol w:w="849"/>
        <w:gridCol w:w="823"/>
        <w:gridCol w:w="849"/>
        <w:gridCol w:w="784"/>
        <w:gridCol w:w="784"/>
        <w:gridCol w:w="819"/>
        <w:gridCol w:w="750"/>
        <w:gridCol w:w="727"/>
      </w:tblGrid>
      <w:tr w:rsidR="00E93A42">
        <w:tc>
          <w:tcPr>
            <w:tcW w:w="2277" w:type="dxa"/>
            <w:gridSpan w:val="2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варианта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7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93A42">
        <w:tc>
          <w:tcPr>
            <w:tcW w:w="1481" w:type="dxa"/>
            <w:vMerge w:val="restart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углерода, %</w:t>
            </w:r>
          </w:p>
        </w:tc>
        <w:tc>
          <w:tcPr>
            <w:tcW w:w="796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1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0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27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93A42">
        <w:tc>
          <w:tcPr>
            <w:tcW w:w="1481" w:type="dxa"/>
            <w:vMerge/>
            <w:noWrap/>
          </w:tcPr>
          <w:p w:rsidR="00E93A42" w:rsidRDefault="00E93A4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6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823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78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81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50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27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</w:tbl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442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93A42">
        <w:tc>
          <w:tcPr>
            <w:tcW w:w="1718" w:type="dxa"/>
            <w:gridSpan w:val="2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варианта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93A42">
        <w:tc>
          <w:tcPr>
            <w:tcW w:w="859" w:type="dxa"/>
            <w:vMerge w:val="restart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углерода, %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93A42">
        <w:tc>
          <w:tcPr>
            <w:tcW w:w="859" w:type="dxa"/>
            <w:vMerge/>
            <w:noWrap/>
          </w:tcPr>
          <w:p w:rsidR="00E93A42" w:rsidRDefault="00E93A4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</w:tbl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481"/>
        <w:gridCol w:w="835"/>
        <w:gridCol w:w="83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E93A42">
        <w:tc>
          <w:tcPr>
            <w:tcW w:w="1967" w:type="dxa"/>
            <w:gridSpan w:val="2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№ варианта</w:t>
            </w:r>
          </w:p>
        </w:tc>
        <w:tc>
          <w:tcPr>
            <w:tcW w:w="835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E93A42">
        <w:tc>
          <w:tcPr>
            <w:tcW w:w="1132" w:type="dxa"/>
            <w:vMerge w:val="restart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углерода, %</w:t>
            </w:r>
          </w:p>
        </w:tc>
        <w:tc>
          <w:tcPr>
            <w:tcW w:w="835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835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1,4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0,9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0,05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2,2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0,25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0,8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1,2</w:t>
            </w:r>
          </w:p>
        </w:tc>
      </w:tr>
      <w:tr w:rsidR="00E93A42">
        <w:tc>
          <w:tcPr>
            <w:tcW w:w="1132" w:type="dxa"/>
            <w:vMerge/>
            <w:noWrap/>
          </w:tcPr>
          <w:p w:rsidR="00E93A42" w:rsidRDefault="00E93A4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35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835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4,3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3,8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4,4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5,1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4,2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3,2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2,6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4,3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34" w:type="dxa"/>
            <w:noWrap/>
          </w:tcPr>
          <w:p w:rsidR="00E93A42" w:rsidRDefault="00244F22" w:rsidP="005A1C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5,9</w:t>
            </w:r>
          </w:p>
        </w:tc>
      </w:tr>
    </w:tbl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Методические указания к заданию № </w:t>
      </w:r>
      <w:r>
        <w:rPr>
          <w:b/>
          <w:color w:val="000000"/>
        </w:rPr>
        <w:t>2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Для выполнения задания требуется изучить темы: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- «Термическая и химико-термическая обработка, металлов и сплавов»;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 xml:space="preserve">- «Материалы, применяемые в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 и приборостроении»</w:t>
      </w:r>
    </w:p>
    <w:p w:rsidR="00E93A42" w:rsidRDefault="00244F22" w:rsidP="005A1C0D">
      <w:pPr>
        <w:spacing w:after="0" w:line="240" w:lineRule="auto"/>
        <w:ind w:firstLine="708"/>
        <w:jc w:val="both"/>
        <w:rPr>
          <w:color w:val="000000"/>
        </w:rPr>
      </w:pPr>
      <w:r>
        <w:rPr>
          <w:iCs/>
          <w:color w:val="000000"/>
        </w:rPr>
        <w:t xml:space="preserve">В </w:t>
      </w:r>
      <w:r>
        <w:rPr>
          <w:color w:val="000000"/>
        </w:rPr>
        <w:t>зависимости от назначения изделия, изготавливае</w:t>
      </w:r>
      <w:r>
        <w:rPr>
          <w:color w:val="000000"/>
        </w:rPr>
        <w:t xml:space="preserve">мого из определенного сплава, требуется тот или иной вид термической или химико-термической обработки. </w:t>
      </w:r>
      <w:proofErr w:type="gramStart"/>
      <w:r>
        <w:rPr>
          <w:color w:val="000000"/>
        </w:rPr>
        <w:t>При этом происходит полное или частичной изменение микроструктуры сплава, приводящее к получению требуемых механических и других свойств изделия.</w:t>
      </w:r>
      <w:proofErr w:type="gramEnd"/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При опи</w:t>
      </w:r>
      <w:r>
        <w:rPr>
          <w:color w:val="000000"/>
        </w:rPr>
        <w:t>сании заданных процессов дать их определение, схематизировать температурные интервалы нагрева и выдержки, условия охлаждения. Пояснить фазовые превращения и изменения физико-механических свойств металла.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По заданной марке (обозначению) следует определить к</w:t>
      </w:r>
      <w:r>
        <w:rPr>
          <w:color w:val="000000"/>
        </w:rPr>
        <w:t xml:space="preserve"> какой группе по назначению относится заданный материале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ля сталей и медных сплавов следует расшифровать химический состав. Для сталей определить группу по качеству (обыкновенного качества, </w:t>
      </w:r>
      <w:proofErr w:type="gramStart"/>
      <w:r>
        <w:rPr>
          <w:color w:val="000000"/>
        </w:rPr>
        <w:t>качественная</w:t>
      </w:r>
      <w:proofErr w:type="gramEnd"/>
      <w:r>
        <w:rPr>
          <w:color w:val="000000"/>
        </w:rPr>
        <w:t>, высококачественная или особовысококачественная). Дл</w:t>
      </w:r>
      <w:r>
        <w:rPr>
          <w:color w:val="000000"/>
        </w:rPr>
        <w:t>я цветных сплавов по марке следует определить их технологичность (</w:t>
      </w:r>
      <w:proofErr w:type="gramStart"/>
      <w:r>
        <w:rPr>
          <w:color w:val="000000"/>
        </w:rPr>
        <w:t>деформируемый</w:t>
      </w:r>
      <w:proofErr w:type="gramEnd"/>
      <w:r>
        <w:rPr>
          <w:color w:val="000000"/>
        </w:rPr>
        <w:t xml:space="preserve"> или литейный). Указать возможные области применения материала в технике.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>
        <w:rPr>
          <w:color w:val="000000"/>
        </w:rPr>
        <w:lastRenderedPageBreak/>
        <w:t xml:space="preserve">ПРИМЕР 1  (расшифровка сплавов). Расшифровать сплав </w:t>
      </w:r>
      <w:proofErr w:type="spellStart"/>
      <w:r>
        <w:rPr>
          <w:color w:val="000000"/>
        </w:rPr>
        <w:t>БрОЦС</w:t>
      </w:r>
      <w:proofErr w:type="spellEnd"/>
      <w:r>
        <w:rPr>
          <w:color w:val="000000"/>
        </w:rPr>
        <w:t xml:space="preserve"> 4-4-2,5 </w:t>
      </w:r>
      <w:r>
        <w:rPr>
          <w:i/>
          <w:iCs/>
          <w:color w:val="000000"/>
        </w:rPr>
        <w:t xml:space="preserve">Ответ: Данный сплав является оловянной бронзой. Данная </w:t>
      </w:r>
      <w:proofErr w:type="gramStart"/>
      <w:r>
        <w:rPr>
          <w:i/>
          <w:iCs/>
          <w:color w:val="000000"/>
        </w:rPr>
        <w:t>бронза</w:t>
      </w:r>
      <w:proofErr w:type="gramEnd"/>
      <w:r>
        <w:rPr>
          <w:i/>
          <w:iCs/>
          <w:color w:val="000000"/>
        </w:rPr>
        <w:t xml:space="preserve"> деформируемая и имеет следующий химический состав: 4% олова, 4% цинка, 2,5% свинца, остальное </w:t>
      </w:r>
      <w:r>
        <w:rPr>
          <w:color w:val="000000"/>
        </w:rPr>
        <w:t xml:space="preserve">- </w:t>
      </w:r>
      <w:r>
        <w:rPr>
          <w:i/>
          <w:iCs/>
          <w:color w:val="000000"/>
        </w:rPr>
        <w:t>медь. Рекомендуется применять для изготовления антифрикционных деталей, например, червячных пар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</w:rPr>
      </w:pPr>
      <w:r>
        <w:rPr>
          <w:b/>
          <w:i/>
          <w:color w:val="000000"/>
        </w:rPr>
        <w:t>З</w:t>
      </w:r>
      <w:r>
        <w:rPr>
          <w:b/>
          <w:i/>
          <w:color w:val="000000"/>
        </w:rPr>
        <w:t xml:space="preserve">АДАНИЕ </w:t>
      </w:r>
      <w:r>
        <w:rPr>
          <w:b/>
          <w:i/>
          <w:color w:val="000000"/>
        </w:rPr>
        <w:t>2</w:t>
      </w:r>
      <w:r>
        <w:rPr>
          <w:b/>
          <w:i/>
          <w:iCs/>
          <w:color w:val="000000"/>
        </w:rPr>
        <w:t xml:space="preserve">Дать определение </w:t>
      </w:r>
      <w:r>
        <w:rPr>
          <w:b/>
          <w:bCs/>
          <w:i/>
          <w:iCs/>
          <w:color w:val="000000"/>
        </w:rPr>
        <w:t xml:space="preserve">и </w:t>
      </w:r>
      <w:r>
        <w:rPr>
          <w:b/>
          <w:i/>
          <w:iCs/>
          <w:color w:val="000000"/>
        </w:rPr>
        <w:t xml:space="preserve">кратко описать заданные термической и </w:t>
      </w:r>
      <w:r>
        <w:rPr>
          <w:b/>
          <w:bCs/>
          <w:i/>
          <w:iCs/>
          <w:color w:val="000000"/>
        </w:rPr>
        <w:t xml:space="preserve">химико-термической </w:t>
      </w:r>
      <w:r>
        <w:rPr>
          <w:b/>
          <w:i/>
          <w:iCs/>
          <w:color w:val="000000"/>
        </w:rPr>
        <w:t>обработки. Каковы их цели? Расшифровать марки сплавов.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1. Определение и классификация видов термической обработки.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2. Превращения в металлах и сплавах при нагреве.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Превращения в металлах и сплавах при охлаждении (перлитное превращение).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4. Превращения в металлах и сплавах при охлаждении (</w:t>
      </w:r>
      <w:proofErr w:type="spellStart"/>
      <w:r>
        <w:rPr>
          <w:color w:val="000000"/>
        </w:rPr>
        <w:t>бейнитное</w:t>
      </w:r>
      <w:proofErr w:type="spellEnd"/>
      <w:r>
        <w:rPr>
          <w:color w:val="000000"/>
        </w:rPr>
        <w:t xml:space="preserve"> превращение).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5.Превращения в металлах и сплавах при охлаждении (мартенситное превращение).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6. Диффузионный отжиг*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Рек</w:t>
      </w:r>
      <w:r>
        <w:rPr>
          <w:color w:val="000000"/>
        </w:rPr>
        <w:t>ристаллизационный</w:t>
      </w:r>
      <w:proofErr w:type="spellEnd"/>
      <w:r>
        <w:rPr>
          <w:color w:val="000000"/>
        </w:rPr>
        <w:t xml:space="preserve"> отжиг.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8. Полный отжиг.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9. Изотермический отжиг. 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10. Нормализация.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11 Закалка, сущность, режимы</w:t>
      </w:r>
      <w:r>
        <w:rPr>
          <w:color w:val="000000"/>
          <w:vertAlign w:val="subscript"/>
        </w:rPr>
        <w:t xml:space="preserve">, </w:t>
      </w:r>
      <w:r>
        <w:rPr>
          <w:color w:val="000000"/>
        </w:rPr>
        <w:t>область применения.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12. Непрерывная закалка.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13. Изотермическая закалка.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14. Поверхностная закалка сталей.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15. Отпуск и его виды.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vertAlign w:val="subscript"/>
        </w:rPr>
      </w:pPr>
      <w:r>
        <w:rPr>
          <w:color w:val="000000"/>
        </w:rPr>
        <w:t xml:space="preserve">16. </w:t>
      </w:r>
      <w:r>
        <w:rPr>
          <w:color w:val="000000"/>
        </w:rPr>
        <w:t>Превращения, происходящие в закаленной стали.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17. Термомеханическая обработка, виды, сущность, область применения.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18. Дефекты термической обработки и методы их предупреждения.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19. Определение и классификация основных видов химико-термической обработки мет</w:t>
      </w:r>
      <w:r>
        <w:rPr>
          <w:color w:val="000000"/>
        </w:rPr>
        <w:t>аллов и сплавов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20. Основные процессы, происходящие при химико-термической обработке.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21. Цементация стали твердым карбюризатором.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22. Газовая цементация стали.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23. </w:t>
      </w:r>
      <w:proofErr w:type="spellStart"/>
      <w:r>
        <w:rPr>
          <w:color w:val="000000"/>
        </w:rPr>
        <w:t>Нитроцементация</w:t>
      </w:r>
      <w:proofErr w:type="spellEnd"/>
      <w:r>
        <w:rPr>
          <w:color w:val="000000"/>
        </w:rPr>
        <w:t xml:space="preserve"> стали.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24. Азотирование стали.</w:t>
      </w:r>
    </w:p>
    <w:p w:rsidR="00E93A42" w:rsidRDefault="00244F22" w:rsidP="005A1C0D">
      <w:pPr>
        <w:spacing w:after="0" w:line="240" w:lineRule="auto"/>
        <w:rPr>
          <w:color w:val="000000"/>
        </w:rPr>
      </w:pPr>
      <w:r>
        <w:rPr>
          <w:color w:val="000000"/>
        </w:rPr>
        <w:t>25. Диффузионное насыщение сплавов металлами</w:t>
      </w:r>
      <w:r>
        <w:rPr>
          <w:color w:val="000000"/>
        </w:rPr>
        <w:t xml:space="preserve"> и неметаллами.</w:t>
      </w:r>
    </w:p>
    <w:p w:rsidR="00E93A42" w:rsidRDefault="00244F22" w:rsidP="005A1C0D">
      <w:pPr>
        <w:spacing w:after="0" w:line="240" w:lineRule="auto"/>
        <w:rPr>
          <w:color w:val="000000"/>
        </w:rPr>
      </w:pPr>
      <w:r>
        <w:rPr>
          <w:color w:val="000000"/>
        </w:rPr>
        <w:t>26. 3отирование стали.</w:t>
      </w:r>
    </w:p>
    <w:p w:rsidR="00E93A42" w:rsidRDefault="00244F22" w:rsidP="005A1C0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27 </w:t>
      </w:r>
      <w:proofErr w:type="spellStart"/>
      <w:r>
        <w:rPr>
          <w:color w:val="000000"/>
        </w:rPr>
        <w:t>Силицирование</w:t>
      </w:r>
      <w:proofErr w:type="spellEnd"/>
      <w:r>
        <w:rPr>
          <w:color w:val="000000"/>
        </w:rPr>
        <w:t xml:space="preserve"> стали.</w:t>
      </w:r>
    </w:p>
    <w:p w:rsidR="00E93A42" w:rsidRDefault="00244F22" w:rsidP="005A1C0D">
      <w:pPr>
        <w:spacing w:after="0" w:line="240" w:lineRule="auto"/>
        <w:rPr>
          <w:color w:val="000000"/>
        </w:rPr>
      </w:pPr>
      <w:r>
        <w:rPr>
          <w:color w:val="000000"/>
        </w:rPr>
        <w:t>28.Алитирование стали.</w:t>
      </w:r>
    </w:p>
    <w:p w:rsidR="00E93A42" w:rsidRDefault="00244F22" w:rsidP="005A1C0D">
      <w:pPr>
        <w:spacing w:after="0" w:line="240" w:lineRule="auto"/>
        <w:rPr>
          <w:color w:val="000000"/>
        </w:rPr>
      </w:pPr>
      <w:r>
        <w:rPr>
          <w:color w:val="000000"/>
        </w:rPr>
        <w:t>29. Хромирование стали</w:t>
      </w:r>
    </w:p>
    <w:p w:rsidR="00E93A42" w:rsidRDefault="00244F22" w:rsidP="005A1C0D">
      <w:pPr>
        <w:spacing w:after="0" w:line="240" w:lineRule="auto"/>
      </w:pPr>
      <w:r>
        <w:rPr>
          <w:color w:val="000000"/>
        </w:rPr>
        <w:t xml:space="preserve">30 </w:t>
      </w:r>
      <w:proofErr w:type="spellStart"/>
      <w:r>
        <w:rPr>
          <w:color w:val="000000"/>
        </w:rPr>
        <w:t>Борирование</w:t>
      </w:r>
      <w:proofErr w:type="spellEnd"/>
      <w:r>
        <w:rPr>
          <w:color w:val="000000"/>
        </w:rPr>
        <w:t xml:space="preserve"> стали</w:t>
      </w:r>
    </w:p>
    <w:p w:rsidR="00E93A42" w:rsidRDefault="00244F22" w:rsidP="005A1C0D">
      <w:pPr>
        <w:spacing w:after="0" w:line="240" w:lineRule="auto"/>
        <w:jc w:val="center"/>
      </w:pPr>
      <w:r>
        <w:t>Расшифровать марки сплавов</w:t>
      </w:r>
    </w:p>
    <w:p w:rsidR="00E93A42" w:rsidRDefault="00244F22" w:rsidP="005A1C0D">
      <w:pPr>
        <w:spacing w:after="0" w:line="240" w:lineRule="auto"/>
        <w:jc w:val="center"/>
      </w:pPr>
      <w:r>
        <w:t xml:space="preserve"> (</w:t>
      </w:r>
      <w:r>
        <w:rPr>
          <w:sz w:val="18"/>
          <w:szCs w:val="18"/>
          <w:highlight w:val="yellow"/>
        </w:rPr>
        <w:t xml:space="preserve">ВАРИАНТ ВЫБИРАЕТСЯ ПО НОМЕРУ </w:t>
      </w:r>
      <w:r w:rsidR="005A1C0D">
        <w:rPr>
          <w:sz w:val="18"/>
          <w:szCs w:val="18"/>
        </w:rPr>
        <w:t>в журнале</w:t>
      </w:r>
      <w:r>
        <w:t>)</w:t>
      </w:r>
    </w:p>
    <w:tbl>
      <w:tblPr>
        <w:tblStyle w:val="a3"/>
        <w:tblW w:w="0" w:type="auto"/>
        <w:tblLook w:val="04A0"/>
      </w:tblPr>
      <w:tblGrid>
        <w:gridCol w:w="979"/>
        <w:gridCol w:w="2577"/>
        <w:gridCol w:w="979"/>
        <w:gridCol w:w="2577"/>
        <w:gridCol w:w="979"/>
        <w:gridCol w:w="2577"/>
      </w:tblGrid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варианта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сплава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варианта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сплава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варианта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сплава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; 20ХГР; А40ХЕ; МА14;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 50-3-2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15ХФ; КЧ 60-3;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08Х18Н10Т; АЛ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БрАЖН</w:t>
            </w:r>
            <w:proofErr w:type="spellEnd"/>
            <w:r>
              <w:rPr>
                <w:sz w:val="20"/>
                <w:szCs w:val="20"/>
              </w:rPr>
              <w:t xml:space="preserve"> 10-4-4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7" w:type="dxa"/>
            <w:tcBorders>
              <w:right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Л85; 45Х; ВТ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БрКМц</w:t>
            </w:r>
            <w:proofErr w:type="spellEnd"/>
            <w:r>
              <w:rPr>
                <w:sz w:val="20"/>
                <w:szCs w:val="20"/>
              </w:rPr>
              <w:t xml:space="preserve"> 3-1; Р18</w:t>
            </w:r>
          </w:p>
          <w:p w:rsidR="00E93A42" w:rsidRDefault="00E93A4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; 25ХГМ; 47НД; МЛ10; ЛЦ40Мц3Ж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СТ3пс; АСЧ-1; 5ХНМ; АЛ 7; БрА10Ж3Мц2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77" w:type="dxa"/>
            <w:tcBorders>
              <w:right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08пс; 12Х13;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КЧ 60-3; 110Г13; </w:t>
            </w:r>
            <w:proofErr w:type="spellStart"/>
            <w:r>
              <w:rPr>
                <w:sz w:val="20"/>
                <w:szCs w:val="20"/>
              </w:rPr>
              <w:t>ЛАЖМц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66-6-3-2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 xml:space="preserve">; 50Х; ВТ5; АС12ХН; </w:t>
            </w:r>
            <w:proofErr w:type="spellStart"/>
            <w:r>
              <w:rPr>
                <w:sz w:val="20"/>
                <w:szCs w:val="20"/>
              </w:rPr>
              <w:t>БрОЦ</w:t>
            </w:r>
            <w:proofErr w:type="spellEnd"/>
            <w:r>
              <w:rPr>
                <w:sz w:val="20"/>
                <w:szCs w:val="20"/>
              </w:rPr>
              <w:t xml:space="preserve"> 4-3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40Х; 12Х18Н9Т; У12А; Д16; 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 59-3-2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; 09Г2С; </w:t>
            </w:r>
            <w:proofErr w:type="spellStart"/>
            <w:r>
              <w:rPr>
                <w:sz w:val="20"/>
                <w:szCs w:val="20"/>
              </w:rPr>
              <w:t>БСт</w:t>
            </w:r>
            <w:proofErr w:type="spellEnd"/>
            <w:r>
              <w:rPr>
                <w:sz w:val="20"/>
                <w:szCs w:val="20"/>
              </w:rPr>
              <w:t xml:space="preserve"> 3кп; 36Х2Н2МФА; ЛЦ40Мц3Ж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 50; 20Х13; ХВСГ; ЛАЖ 60-1-1; ВТ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7" w:type="dxa"/>
            <w:tcBorders>
              <w:top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ВСт3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; 40ХГТР; Т30К4; </w:t>
            </w:r>
            <w:proofErr w:type="spellStart"/>
            <w:r>
              <w:rPr>
                <w:sz w:val="20"/>
                <w:szCs w:val="20"/>
              </w:rPr>
              <w:t>БрАЖ</w:t>
            </w:r>
            <w:proofErr w:type="spellEnd"/>
            <w:r>
              <w:rPr>
                <w:sz w:val="20"/>
                <w:szCs w:val="20"/>
              </w:rPr>
              <w:t xml:space="preserve"> 10-4; 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ВК8; 30ХГСА; ХВГ; АЛ11; БрА5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25ХГТ; </w:t>
            </w:r>
            <w:r>
              <w:rPr>
                <w:sz w:val="20"/>
                <w:szCs w:val="20"/>
              </w:rPr>
              <w:t>65С2ВА; Т5К10; ЛС 59-1;Д16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40ХН; 10Г2С;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АЦ40Г; 70; МЛ10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 60-1; 45Л; 14ХНД; А45Е; ВК15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18Х2Н4ВА; 65Г; ВК20; </w:t>
            </w:r>
            <w:r>
              <w:rPr>
                <w:sz w:val="20"/>
                <w:szCs w:val="20"/>
              </w:rPr>
              <w:lastRenderedPageBreak/>
              <w:t>АМ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6;  </w:t>
            </w:r>
            <w:proofErr w:type="spellStart"/>
            <w:r>
              <w:rPr>
                <w:sz w:val="20"/>
                <w:szCs w:val="20"/>
              </w:rPr>
              <w:t>ЛЖМц</w:t>
            </w:r>
            <w:proofErr w:type="spellEnd"/>
            <w:r>
              <w:rPr>
                <w:sz w:val="20"/>
                <w:szCs w:val="20"/>
              </w:rPr>
              <w:t xml:space="preserve"> 59-1-1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; 38Н3МФА; ХВ4; 36Н; </w:t>
            </w:r>
            <w:r>
              <w:rPr>
                <w:sz w:val="20"/>
                <w:szCs w:val="20"/>
              </w:rPr>
              <w:lastRenderedPageBreak/>
              <w:t>БрБ2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БрАЖМц</w:t>
            </w:r>
            <w:proofErr w:type="spellEnd"/>
            <w:r>
              <w:rPr>
                <w:sz w:val="20"/>
                <w:szCs w:val="20"/>
              </w:rPr>
              <w:t xml:space="preserve"> 10-3-1,5; Б83; </w:t>
            </w:r>
            <w:r>
              <w:rPr>
                <w:sz w:val="20"/>
                <w:szCs w:val="20"/>
              </w:rPr>
              <w:lastRenderedPageBreak/>
              <w:t>У8А</w:t>
            </w:r>
            <w:proofErr w:type="gramStart"/>
            <w:r>
              <w:rPr>
                <w:sz w:val="20"/>
                <w:szCs w:val="20"/>
              </w:rPr>
              <w:t>;Л</w:t>
            </w:r>
            <w:proofErr w:type="gramEnd"/>
            <w:r>
              <w:rPr>
                <w:sz w:val="20"/>
                <w:szCs w:val="20"/>
              </w:rPr>
              <w:t>95; АЛ9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БрКМц</w:t>
            </w:r>
            <w:proofErr w:type="spellEnd"/>
            <w:r>
              <w:rPr>
                <w:sz w:val="20"/>
                <w:szCs w:val="20"/>
              </w:rPr>
              <w:t xml:space="preserve"> 3-1;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ВЧ 100;40Х13; ТТ8К6; ОТ 4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ШХ15;</w:t>
            </w:r>
            <w:r>
              <w:rPr>
                <w:sz w:val="20"/>
                <w:szCs w:val="20"/>
              </w:rPr>
              <w:t xml:space="preserve"> Р6М5К5; ЛАН 59-3-2; 10; А40Г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77" w:type="dxa"/>
            <w:tcBorders>
              <w:right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; 9ХС; Р6М5К6; 40Х; 47НД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 10; 40ХН2МА; 9ХС; У 10; Бр10Ж3Мц2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 25; 60С2ХФА; У10А; АК8; ЛЦ40Мц1,5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77" w:type="dxa"/>
            <w:tcBorders>
              <w:right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ШХ15; Б16; 15Х34Л; 05 </w:t>
            </w:r>
            <w:proofErr w:type="spellStart"/>
            <w:r>
              <w:rPr>
                <w:sz w:val="20"/>
                <w:szCs w:val="20"/>
              </w:rPr>
              <w:t>кп</w:t>
            </w:r>
            <w:proofErr w:type="spellEnd"/>
            <w:r>
              <w:rPr>
                <w:sz w:val="20"/>
                <w:szCs w:val="20"/>
              </w:rPr>
              <w:t>; Х18МФ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 40; 50С2; ТТ7К12; Х20Н80; ЛЦ30Ф3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ШХ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; У9; 15Х; Д20; 18Х2Н4МА; КЧ 30-6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77" w:type="dxa"/>
            <w:tcBorders>
              <w:right w:val="nil"/>
            </w:tcBorders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Г13Л; А12; ВК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; ХН78Т; СЧ 45</w:t>
            </w:r>
          </w:p>
        </w:tc>
      </w:tr>
      <w:tr w:rsidR="00E93A42"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КЧ 30-6; 12Х17; Р6М5; </w:t>
            </w:r>
          </w:p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БрОЦ</w:t>
            </w:r>
            <w:proofErr w:type="spellEnd"/>
            <w:r>
              <w:rPr>
                <w:sz w:val="20"/>
                <w:szCs w:val="20"/>
              </w:rPr>
              <w:t xml:space="preserve"> 4-3; Л90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БСт3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; МА15; 40Х13; 60С2; А45Е</w:t>
            </w:r>
          </w:p>
        </w:tc>
        <w:tc>
          <w:tcPr>
            <w:tcW w:w="859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77" w:type="dxa"/>
            <w:noWrap/>
          </w:tcPr>
          <w:p w:rsidR="00E93A42" w:rsidRDefault="00244F22" w:rsidP="005A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АЛ20; Х; ВЧ 70; Л90; 35 </w:t>
            </w:r>
          </w:p>
        </w:tc>
      </w:tr>
    </w:tbl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Методические указания к заданию № </w:t>
      </w:r>
      <w:r>
        <w:rPr>
          <w:b/>
          <w:color w:val="000000"/>
        </w:rPr>
        <w:t>3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 xml:space="preserve">Выбор материала для изготовления определенного изделия или работы в определенных </w:t>
      </w:r>
      <w:r>
        <w:rPr>
          <w:color w:val="000000"/>
        </w:rPr>
        <w:t>условиях основывается на знании состава материала, технологических воздействий и способов упрочнения для получения необходимых свойств, Материал должен соответствовать критериям, обеспечивающим надежность в эксплуатации, работоспособность изделия и экономи</w:t>
      </w:r>
      <w:r>
        <w:rPr>
          <w:color w:val="000000"/>
        </w:rPr>
        <w:t>чность.</w:t>
      </w:r>
    </w:p>
    <w:p w:rsidR="00E93A42" w:rsidRDefault="00244F22" w:rsidP="005A1C0D">
      <w:pPr>
        <w:spacing w:after="0" w:line="240" w:lineRule="auto"/>
        <w:ind w:firstLine="708"/>
        <w:jc w:val="both"/>
      </w:pPr>
      <w:r>
        <w:rPr>
          <w:color w:val="000000"/>
        </w:rPr>
        <w:t xml:space="preserve">Необходимо учитывать, что увеличение содержания углерода в сталях повышает </w:t>
      </w:r>
      <w:proofErr w:type="spellStart"/>
      <w:r>
        <w:rPr>
          <w:color w:val="000000"/>
        </w:rPr>
        <w:t>прокаливаемость</w:t>
      </w:r>
      <w:proofErr w:type="spellEnd"/>
      <w:r>
        <w:rPr>
          <w:color w:val="000000"/>
        </w:rPr>
        <w:t xml:space="preserve">, прочность и твердость, но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то же время снижает пластичность и вязкость. Чугун по сравнению со сталью имеет более низкие механические свойства, но </w:t>
      </w:r>
      <w:r>
        <w:rPr>
          <w:color w:val="000000"/>
        </w:rPr>
        <w:t>отличается лучшими литейными свойствами.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 xml:space="preserve">Легирующие элементы, вводимые в сталь, повышают ее конструкционную прочность. При этом, поскольку в отожженном состоянии механические  свойства легирующих и углеродистых сталей незначительно </w:t>
      </w:r>
      <w:proofErr w:type="gramStart"/>
      <w:r>
        <w:rPr>
          <w:color w:val="000000"/>
        </w:rPr>
        <w:t>отличаются</w:t>
      </w:r>
      <w:proofErr w:type="gramEnd"/>
      <w:r>
        <w:rPr>
          <w:color w:val="000000"/>
        </w:rPr>
        <w:t xml:space="preserve"> друг от друга</w:t>
      </w:r>
      <w:r>
        <w:rPr>
          <w:color w:val="000000"/>
        </w:rPr>
        <w:t xml:space="preserve"> их  следует применять после закалки и отпуска.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К способам упрочнения стали и сплавов относятся: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- различные виды термической обработки,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пластическая деформация, 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- термомеханическая обработка, совмещающая пластическую деформацию и упрочняющую термическу</w:t>
      </w:r>
      <w:r>
        <w:rPr>
          <w:color w:val="000000"/>
        </w:rPr>
        <w:t>ю обработку,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- химико-термическая обработка и т.д.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Способы и режимы упрочнения назначаются в зависимости от состава сплава</w:t>
      </w:r>
      <w:r>
        <w:t xml:space="preserve">, </w:t>
      </w:r>
      <w:r>
        <w:rPr>
          <w:color w:val="000000"/>
        </w:rPr>
        <w:t>габаритов и конфигурации изделия, а также от получения требуемых свойств, связанных со структурными превращениями.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При выполнении за</w:t>
      </w:r>
      <w:r>
        <w:rPr>
          <w:b/>
          <w:color w:val="000000"/>
        </w:rPr>
        <w:t>дания следует руководствоваться следующими рекомендациями: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1. Определить условия работы детали (по условию задачи);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2. Подобрать марку сплава для изготовления детали, исходя из условий работы;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color w:val="000000"/>
        </w:rPr>
        <w:t>3. Определить химический состав выбранного сплава, пользуясь с</w:t>
      </w:r>
      <w:r>
        <w:rPr>
          <w:color w:val="000000"/>
        </w:rPr>
        <w:t>правочной литературой;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iCs/>
          <w:color w:val="000000"/>
        </w:rPr>
        <w:t>4.</w:t>
      </w:r>
      <w:r>
        <w:rPr>
          <w:color w:val="000000"/>
        </w:rPr>
        <w:t xml:space="preserve"> Определить механические свойства сплава;</w:t>
      </w:r>
    </w:p>
    <w:p w:rsidR="00E93A42" w:rsidRDefault="00244F22" w:rsidP="005A1C0D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5. Указать режимы термической обработки, способствующие повышению механических свойств, а также структуру сплава.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bookmarkStart w:id="0" w:name="_GoBack"/>
      <w:bookmarkEnd w:id="0"/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>
        <w:rPr>
          <w:b/>
          <w:i/>
          <w:caps/>
          <w:color w:val="000000"/>
        </w:rPr>
        <w:t xml:space="preserve">Задание </w:t>
      </w:r>
      <w:r>
        <w:rPr>
          <w:b/>
          <w:i/>
          <w:caps/>
          <w:color w:val="000000"/>
        </w:rPr>
        <w:t>3</w:t>
      </w:r>
      <w:r>
        <w:rPr>
          <w:b/>
          <w:i/>
          <w:iCs/>
          <w:color w:val="000000"/>
        </w:rPr>
        <w:t xml:space="preserve">Выбрать и обосновать марку сплава для изготовления требуемого </w:t>
      </w:r>
      <w:r>
        <w:rPr>
          <w:b/>
          <w:i/>
          <w:iCs/>
          <w:color w:val="000000"/>
        </w:rPr>
        <w:t>изделия или для работы в заданных условиях. Назначить способы и режимы его упрочнения. Описать состав, структуру и свойства выбранного материала</w:t>
      </w:r>
      <w:r>
        <w:rPr>
          <w:i/>
          <w:iCs/>
          <w:color w:val="000000"/>
        </w:rPr>
        <w:t>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1. Выбрать материал для </w:t>
      </w:r>
      <w:proofErr w:type="spellStart"/>
      <w:r>
        <w:rPr>
          <w:color w:val="000000"/>
        </w:rPr>
        <w:t>тяжелонагруженного</w:t>
      </w:r>
      <w:proofErr w:type="spellEnd"/>
      <w:r>
        <w:rPr>
          <w:color w:val="000000"/>
        </w:rPr>
        <w:t xml:space="preserve"> коленчатого вала сложной формы, диаметром 40 мм, Предел текучести</w:t>
      </w:r>
      <w:r>
        <w:rPr>
          <w:color w:val="000000"/>
        </w:rPr>
        <w:t xml:space="preserve"> должен быть 600 МПа и 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  <w:lang w:val="en-US"/>
        </w:rPr>
        <w:t>RC</w:t>
      </w:r>
      <w:r>
        <w:rPr>
          <w:color w:val="000000"/>
        </w:rPr>
        <w:t xml:space="preserve"> 50.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2. Станины станков изготовляют литьем. Временное сопротивление растяжению должно быть 200-250 МПа, твердостью НВ 240 и износостойкостью. Подобрать марку чугуна для изготовления данной детали.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3. Сварные топливные баки изгот</w:t>
      </w:r>
      <w:r>
        <w:rPr>
          <w:color w:val="000000"/>
        </w:rPr>
        <w:t>овляют в авиапромышленности из легких листовых материалов, обладающих повышенной стойкостью против коррозии,  пластичностью и способностью хорошо принимать сварку. Подобрать марку сплава, от которого не требуются высокие механические свойства.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4. Подобрат</w:t>
      </w:r>
      <w:r>
        <w:rPr>
          <w:color w:val="000000"/>
        </w:rPr>
        <w:t>ь марку сплава для изготовления сверл диаметром 20мм обрабатывающих отожженную сталь 45.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5. Червяк редуктора для уменьшения коэффициента трения изготавливают из стали, а венец колес из сплава на медной основе. Указать марку и состав сплава для венца колес</w:t>
      </w:r>
      <w:r>
        <w:rPr>
          <w:color w:val="000000"/>
        </w:rPr>
        <w:t>а, обладающего высокими антифрикционными свойствами и временным сопротивлением не ниже 250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6. Необходимо изготовить большую партию крепежных изделий. К деталям применяются повышенные требования к качеству поверхности, работающих при повышенных напряж</w:t>
      </w:r>
      <w:r>
        <w:rPr>
          <w:color w:val="000000"/>
        </w:rPr>
        <w:t>ениях и давлениях НВ 200.</w:t>
      </w:r>
    </w:p>
    <w:p w:rsidR="00E93A42" w:rsidRDefault="00244F22" w:rsidP="005A1C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7. Коленчатый вал двигателя легкового автомобиля экономично изготовлять из чугуна - материала мало чувствительного к надрезу и хорошо гасящего вибрации. Для этого назначения используют чугун повышенного качества. Выбрать марку чу</w:t>
      </w:r>
      <w:r>
        <w:rPr>
          <w:color w:val="000000"/>
        </w:rPr>
        <w:t>гуна с временным сопротивлением растяжению не ниже 400 МПа относительным удлинением 2-3%.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8. Вкладыш коренных и латунных подшипников двигателей внутреннего сгорания изготавливают из бронзы, отличающейся высокими антифрикционными свойствами и не содержащей</w:t>
      </w:r>
      <w:r>
        <w:rPr>
          <w:color w:val="000000"/>
        </w:rPr>
        <w:t xml:space="preserve"> особо дорогих элементов. Подобрать марку сплава, хорошо работающего в условиях износа.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9. Выбрать марку быстрорежущей стали для изготовления червячных фрез диаметром 100 мм для обработки конструкционных материалов, с прочностью до 1000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10.Медицинск</w:t>
      </w:r>
      <w:r>
        <w:rPr>
          <w:color w:val="000000"/>
        </w:rPr>
        <w:t xml:space="preserve">ие инструменты некоторых типов должны обладать </w:t>
      </w:r>
      <w:proofErr w:type="spellStart"/>
      <w:r>
        <w:rPr>
          <w:color w:val="000000"/>
        </w:rPr>
        <w:t>нетолько</w:t>
      </w:r>
      <w:proofErr w:type="spellEnd"/>
      <w:r>
        <w:rPr>
          <w:color w:val="000000"/>
        </w:rPr>
        <w:t xml:space="preserve"> высокой твердостью и износоустойчивостью, но и стойкостью против коррозии в воде и слабоагрессивных средах. Подобрать марку сплава для изготовления медицинских инструментов. 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11. Необходимо изготовить</w:t>
      </w:r>
      <w:r>
        <w:rPr>
          <w:color w:val="000000"/>
        </w:rPr>
        <w:t xml:space="preserve"> зубчатые колеса диаметром 60 мм и </w:t>
      </w:r>
      <w:proofErr w:type="spellStart"/>
      <w:r>
        <w:rPr>
          <w:color w:val="000000"/>
        </w:rPr>
        <w:t>пределомтекучести</w:t>
      </w:r>
      <w:proofErr w:type="spellEnd"/>
      <w:r>
        <w:rPr>
          <w:color w:val="000000"/>
        </w:rPr>
        <w:t xml:space="preserve"> не ниже 350 МПа. Твердость после закалки НВ 190.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12. Выбрать марку сплава для изготовления станины металлорежущего станка. Толщина отливки не менее 20мм и твердость не менее  НВ 215.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13. Изготовить </w:t>
      </w:r>
      <w:r>
        <w:rPr>
          <w:color w:val="000000"/>
        </w:rPr>
        <w:t>партию ручных инструментов (напильники, метчики). Инструменты не подвергаются в процессе работы нагреву и не требуют в процессе изготовления значительного шлифования Н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</w:rPr>
        <w:t>С 58-59.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14. Изготовить трубы отопительных секций. Подобрать марку чугуна, при этом нео</w:t>
      </w:r>
      <w:r>
        <w:rPr>
          <w:color w:val="000000"/>
        </w:rPr>
        <w:t xml:space="preserve">бходимо соблюдать следующие условия: 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толщина стенки отливки не менее 5мм; 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высокая </w:t>
      </w:r>
      <w:proofErr w:type="spellStart"/>
      <w:r>
        <w:rPr>
          <w:color w:val="000000"/>
        </w:rPr>
        <w:t>жидкотекучесть</w:t>
      </w:r>
      <w:proofErr w:type="spellEnd"/>
      <w:r>
        <w:rPr>
          <w:color w:val="000000"/>
        </w:rPr>
        <w:t>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15. Изготовить пружины диаметром 10мм, работающие в агрессивных средах до температуры 600°С. После закалки предел прочности должен быть не ниже 800 </w:t>
      </w:r>
      <w:proofErr w:type="spellStart"/>
      <w:r>
        <w:rPr>
          <w:color w:val="000000"/>
        </w:rPr>
        <w:t>МПа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модуль упругости Е = 200000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16. На заводе изготавливают ролики цепей конвейера из ковкого чугуна</w:t>
      </w:r>
      <w:r>
        <w:t xml:space="preserve">. </w:t>
      </w:r>
      <w:r>
        <w:rPr>
          <w:color w:val="000000"/>
        </w:rPr>
        <w:t>Подобрать марку чугуна, учитывая, что сплав должен обладать высокой прочностью, умеренной пластичностью, НВ 269.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17. Червяк редуктора диаметром 35мм </w:t>
      </w:r>
      <w:proofErr w:type="gramStart"/>
      <w:r>
        <w:rPr>
          <w:color w:val="000000"/>
        </w:rPr>
        <w:t xml:space="preserve">изготавливают из </w:t>
      </w:r>
      <w:proofErr w:type="spellStart"/>
      <w:r>
        <w:rPr>
          <w:color w:val="000000"/>
        </w:rPr>
        <w:t>цементуемой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сталиПредел</w:t>
      </w:r>
      <w:proofErr w:type="spellEnd"/>
      <w:r>
        <w:rPr>
          <w:color w:val="000000"/>
        </w:rPr>
        <w:t xml:space="preserve"> прочности в сердцевине детали должен</w:t>
      </w:r>
      <w:proofErr w:type="gramEnd"/>
      <w:r>
        <w:rPr>
          <w:color w:val="000000"/>
        </w:rPr>
        <w:t xml:space="preserve"> быть 580 - 586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18.Необходимо изготовить тяги управления самолетов из легкого </w:t>
      </w:r>
      <w:proofErr w:type="spellStart"/>
      <w:r>
        <w:rPr>
          <w:color w:val="000000"/>
        </w:rPr>
        <w:t>сплавас</w:t>
      </w:r>
      <w:proofErr w:type="spellEnd"/>
      <w:r>
        <w:rPr>
          <w:color w:val="000000"/>
        </w:rPr>
        <w:t xml:space="preserve"> пределом прочности не ниже 400 – 450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19.Завод должен изготовить пресс-формы </w:t>
      </w:r>
      <w:proofErr w:type="spellStart"/>
      <w:r>
        <w:rPr>
          <w:iCs/>
          <w:color w:val="000000"/>
        </w:rPr>
        <w:t>для</w:t>
      </w:r>
      <w:r>
        <w:rPr>
          <w:color w:val="000000"/>
        </w:rPr>
        <w:t>ли</w:t>
      </w:r>
      <w:r>
        <w:rPr>
          <w:color w:val="000000"/>
        </w:rPr>
        <w:t>тья</w:t>
      </w:r>
      <w:proofErr w:type="spellEnd"/>
      <w:r>
        <w:rPr>
          <w:color w:val="000000"/>
        </w:rPr>
        <w:t xml:space="preserve"> медных сплавов давлением, Н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</w:rPr>
        <w:t>С 42-45, Подобрать марку сплава для изготовле</w:t>
      </w:r>
      <w:r>
        <w:t xml:space="preserve">ния </w:t>
      </w:r>
      <w:r>
        <w:rPr>
          <w:color w:val="000000"/>
        </w:rPr>
        <w:t>пресс-форм сечением 100мм.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20. На заводе изготовляют шестерни, которые в процессе работы испытывают динамические нагрузки и работают на износ. Шестерни должны обладать относи</w:t>
      </w:r>
      <w:r>
        <w:rPr>
          <w:color w:val="000000"/>
        </w:rPr>
        <w:t>тельным удлинением не ниже 12%, Подобрать марку чугуна, учитывая требуемые условия.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21. Подобрать сплав для изготовления рессор автомобиля. Толщина листа 12мм требуемая Н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</w:rPr>
        <w:t>С 38.</w:t>
      </w:r>
    </w:p>
    <w:p w:rsidR="00E93A42" w:rsidRDefault="00244F22" w:rsidP="005A1C0D">
      <w:pPr>
        <w:spacing w:after="0" w:line="240" w:lineRule="auto"/>
        <w:jc w:val="both"/>
      </w:pPr>
      <w:r>
        <w:rPr>
          <w:color w:val="000000"/>
        </w:rPr>
        <w:t>22. Многие детали установок расщепления нефти, в частности трубы печей, подве</w:t>
      </w:r>
      <w:r>
        <w:rPr>
          <w:color w:val="000000"/>
        </w:rPr>
        <w:t>ржены действию высоких температур. Сплав не испытывает больших нагрузок, но нагревается в работе до 600°С. Подобрать марку сплава.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23. Каркас самолета, рассчитанного на полет с дозвуковыми скоростями и воспринимающего значительные нагрузки, изготовляют ча</w:t>
      </w:r>
      <w:r>
        <w:rPr>
          <w:color w:val="000000"/>
        </w:rPr>
        <w:t>сто из легкого сплава с пределом прочности не ниже 400 МПа. Подобрать марку сплава.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24. Изготовить молотовой штамп для пневматических молотов с массой падающей части свыше 3 т. Сталь должна обладать </w:t>
      </w:r>
      <w:proofErr w:type="spellStart"/>
      <w:r>
        <w:rPr>
          <w:color w:val="000000"/>
        </w:rPr>
        <w:t>прокаливаемостью</w:t>
      </w:r>
      <w:proofErr w:type="spellEnd"/>
      <w:r>
        <w:rPr>
          <w:color w:val="000000"/>
        </w:rPr>
        <w:t xml:space="preserve"> на всю глубину, повышенной теплостойкост</w:t>
      </w:r>
      <w:r>
        <w:rPr>
          <w:color w:val="000000"/>
        </w:rPr>
        <w:t>ью (нагревается при работе 500-550°С), Н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</w:rPr>
        <w:t>С 45.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25. Котлы многих тепловых электростанций работают при давлении пара 50 МПа и температуре 600°С. В этом случае для котлов нужны стали с высоким сопротивлением ползучести. Указать марку сплава, пригодного для р</w:t>
      </w:r>
      <w:r>
        <w:rPr>
          <w:color w:val="000000"/>
        </w:rPr>
        <w:t>аботы в указанных условиях.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26. Изготовить подшипниковые кольца небольших сечений (до 15 мм), Сталь должна обладать </w:t>
      </w:r>
      <w:proofErr w:type="spellStart"/>
      <w:r>
        <w:rPr>
          <w:color w:val="000000"/>
        </w:rPr>
        <w:t>прокаливаемостью</w:t>
      </w:r>
      <w:proofErr w:type="spellEnd"/>
      <w:r>
        <w:rPr>
          <w:color w:val="000000"/>
        </w:rPr>
        <w:t xml:space="preserve"> на большую глубину, высокой твердостью после закалки НЕС 62-66, сопротивление износу и контактная прочность σ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 = 1760-2160 МПа.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27. Отдельные детали автомобиля (тормозные колодки, ступицы колес и др.), имеющие сравнительно сложную форму и работающие в условиях динамических перегрузок, можно изготовлять не из стали, а из чугуна, что дает существенную экономию. Одн</w:t>
      </w:r>
      <w:r>
        <w:rPr>
          <w:color w:val="000000"/>
        </w:rPr>
        <w:t>ако при этом необходимо, чтобы чугун обладал высокими механическими свойствами. Рекомендовать марку чугуна с пределом прочности не ниже 350 МПа и относительным удлинением не ниже 8-10%.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28. Поршни многих двигателей внутреннего сгорания изготавливают из де</w:t>
      </w:r>
      <w:r>
        <w:rPr>
          <w:color w:val="000000"/>
        </w:rPr>
        <w:t>формируемого сплава на алюминиевой основе с добавками легирующих элементов, способствующих сохранению механических свой</w:t>
      </w:r>
      <w:proofErr w:type="gramStart"/>
      <w:r>
        <w:rPr>
          <w:color w:val="000000"/>
        </w:rPr>
        <w:t>ств тр</w:t>
      </w:r>
      <w:proofErr w:type="gramEnd"/>
      <w:r>
        <w:rPr>
          <w:color w:val="000000"/>
        </w:rPr>
        <w:t>и нагреве до 250-300°С. Подобрать сплав на алюминиевой основе.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29. Измерительные инструменты (калибра, шаблоны и т.д.) должны обла</w:t>
      </w:r>
      <w:r>
        <w:rPr>
          <w:color w:val="000000"/>
        </w:rPr>
        <w:t>дать высокой твердостью Н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</w:rPr>
        <w:t>С 62-65, износостойкостью, сохранять постоянство размеров и хорошо шлифоваться. Подобрать марку сплава, учитывая данные требования.</w:t>
      </w:r>
    </w:p>
    <w:p w:rsidR="00E93A42" w:rsidRDefault="00244F2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30. Арматура котлов, работающих в условиях пресной воды и пара под давлением до 2,5 МПа (краны, в</w:t>
      </w:r>
      <w:r>
        <w:rPr>
          <w:color w:val="000000"/>
        </w:rPr>
        <w:t>интили и т.п.), а также трубки и корпусы приборов, работающих в аналогичных условиях, изготавливают из цветных сплавов стойких против коррозии. Подобрать сплав с хорошими литейными свойствами и хорошей обрабатываемостью резанием для изготовления арматуры.</w:t>
      </w: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93A42" w:rsidRDefault="00E93A42" w:rsidP="005A1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93A42" w:rsidRDefault="00E93A42" w:rsidP="005A1C0D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93A42" w:rsidRDefault="00E93A42" w:rsidP="005A1C0D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93A42" w:rsidRDefault="00E93A42" w:rsidP="005A1C0D">
      <w:pPr>
        <w:spacing w:after="0" w:line="240" w:lineRule="auto"/>
      </w:pPr>
    </w:p>
    <w:sectPr w:rsidR="00E93A42" w:rsidSect="00244F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111F0BF5"/>
    <w:rsid w:val="00244F22"/>
    <w:rsid w:val="005A1C0D"/>
    <w:rsid w:val="00E93A42"/>
    <w:rsid w:val="111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93A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12054</Characters>
  <Application>Microsoft Office Word</Application>
  <DocSecurity>0</DocSecurity>
  <Lines>100</Lines>
  <Paragraphs>28</Paragraphs>
  <ScaleCrop>false</ScaleCrop>
  <Company>Grizli777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7</dc:creator>
  <cp:lastModifiedBy>User</cp:lastModifiedBy>
  <cp:revision>4</cp:revision>
  <dcterms:created xsi:type="dcterms:W3CDTF">2024-12-09T05:41:00Z</dcterms:created>
  <dcterms:modified xsi:type="dcterms:W3CDTF">2024-12-13T10:10:00Z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